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E30437A" w:rsidR="00A209D6" w:rsidRPr="00B266B0" w:rsidRDefault="00A209D6" w:rsidP="46DB3364">
      <w:pPr>
        <w:pStyle w:val="Header"/>
        <w:tabs>
          <w:tab w:val="right" w:pos="9639"/>
        </w:tabs>
        <w:rPr>
          <w:noProof w:val="0"/>
          <w:sz w:val="24"/>
          <w:szCs w:val="24"/>
        </w:rPr>
      </w:pPr>
      <w:r w:rsidRPr="46DB3364">
        <w:rPr>
          <w:noProof w:val="0"/>
          <w:sz w:val="24"/>
          <w:szCs w:val="24"/>
        </w:rPr>
        <w:t>3GPP TSG-RAN WG2 Meeting #</w:t>
      </w:r>
      <w:r w:rsidR="0036459E" w:rsidRPr="46DB3364">
        <w:rPr>
          <w:noProof w:val="0"/>
          <w:sz w:val="24"/>
          <w:szCs w:val="24"/>
        </w:rPr>
        <w:t>1</w:t>
      </w:r>
      <w:r w:rsidR="008B54E8" w:rsidRPr="46DB3364">
        <w:rPr>
          <w:noProof w:val="0"/>
          <w:sz w:val="24"/>
          <w:szCs w:val="24"/>
        </w:rPr>
        <w:t>2</w:t>
      </w:r>
      <w:r w:rsidR="0037309D">
        <w:rPr>
          <w:noProof w:val="0"/>
          <w:sz w:val="24"/>
          <w:szCs w:val="24"/>
        </w:rPr>
        <w:t>4</w:t>
      </w:r>
      <w:r>
        <w:tab/>
      </w:r>
      <w:r w:rsidR="00341015" w:rsidRPr="00341015">
        <w:rPr>
          <w:noProof w:val="0"/>
          <w:sz w:val="24"/>
          <w:szCs w:val="24"/>
        </w:rPr>
        <w:t>R2-2313200</w:t>
      </w:r>
    </w:p>
    <w:p w14:paraId="11776FA6" w14:textId="728496BC" w:rsidR="00A209D6" w:rsidRPr="00465587" w:rsidRDefault="00F962EF" w:rsidP="00A209D6">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0416197" w:rsidR="00446C3A" w:rsidRPr="00B266B0" w:rsidRDefault="00446C3A" w:rsidP="00446C3A">
      <w:pPr>
        <w:pStyle w:val="CRCoverPage"/>
        <w:tabs>
          <w:tab w:val="left" w:pos="1985"/>
        </w:tabs>
        <w:rPr>
          <w:rFonts w:cs="Arial"/>
          <w:b/>
          <w:bCs/>
          <w:sz w:val="24"/>
          <w:lang w:eastAsia="ja-JP"/>
        </w:rPr>
      </w:pPr>
      <w:r w:rsidRPr="00C4515D">
        <w:rPr>
          <w:rFonts w:cs="Arial"/>
          <w:b/>
          <w:bCs/>
          <w:sz w:val="24"/>
        </w:rPr>
        <w:t>Agenda item:</w:t>
      </w:r>
      <w:r w:rsidRPr="00C4515D">
        <w:rPr>
          <w:rFonts w:cs="Arial"/>
          <w:b/>
          <w:bCs/>
          <w:sz w:val="24"/>
        </w:rPr>
        <w:tab/>
      </w:r>
      <w:r w:rsidR="00BF467D" w:rsidRPr="00C4515D">
        <w:rPr>
          <w:rFonts w:cs="Arial"/>
          <w:b/>
          <w:bCs/>
          <w:sz w:val="24"/>
          <w:lang w:eastAsia="ja-JP"/>
        </w:rPr>
        <w:t>7</w:t>
      </w:r>
      <w:r w:rsidRPr="00C4515D">
        <w:rPr>
          <w:rFonts w:cs="Arial"/>
          <w:b/>
          <w:bCs/>
          <w:sz w:val="24"/>
          <w:lang w:eastAsia="ja-JP"/>
        </w:rPr>
        <w:t>.</w:t>
      </w:r>
      <w:r w:rsidR="00BF467D" w:rsidRPr="00C4515D">
        <w:rPr>
          <w:rFonts w:cs="Arial"/>
          <w:b/>
          <w:bCs/>
          <w:sz w:val="24"/>
          <w:lang w:eastAsia="ja-JP"/>
        </w:rPr>
        <w:t>12</w:t>
      </w:r>
      <w:r w:rsidRPr="00C4515D">
        <w:rPr>
          <w:rFonts w:cs="Arial"/>
          <w:b/>
          <w:bCs/>
          <w:sz w:val="24"/>
          <w:lang w:eastAsia="ja-JP"/>
        </w:rPr>
        <w:t>.</w:t>
      </w:r>
      <w:r w:rsidR="00BF467D" w:rsidRPr="00C4515D">
        <w:rPr>
          <w:rFonts w:cs="Arial"/>
          <w:b/>
          <w:bCs/>
          <w:sz w:val="24"/>
          <w:lang w:eastAsia="ja-JP"/>
        </w:rPr>
        <w:t>2.</w:t>
      </w:r>
      <w:r w:rsidR="003B06CE">
        <w:rPr>
          <w:rFonts w:cs="Arial"/>
          <w:b/>
          <w:bCs/>
          <w:sz w:val="24"/>
          <w:lang w:eastAsia="ja-JP"/>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1622A96" w:rsidR="00446C3A" w:rsidRDefault="00446C3A" w:rsidP="17668648">
      <w:pPr>
        <w:ind w:left="1985" w:hanging="1985"/>
        <w:rPr>
          <w:rFonts w:ascii="Arial" w:hAnsi="Arial" w:cs="Arial"/>
          <w:b/>
          <w:bCs/>
          <w:sz w:val="24"/>
          <w:szCs w:val="24"/>
        </w:rPr>
      </w:pPr>
      <w:r w:rsidRPr="17668648">
        <w:rPr>
          <w:rFonts w:ascii="Arial" w:hAnsi="Arial" w:cs="Arial"/>
          <w:b/>
          <w:bCs/>
          <w:sz w:val="24"/>
          <w:szCs w:val="24"/>
        </w:rPr>
        <w:t>Title:</w:t>
      </w:r>
      <w:r>
        <w:tab/>
      </w:r>
      <w:r w:rsidR="00414CF1">
        <w:rPr>
          <w:rFonts w:ascii="Arial" w:hAnsi="Arial" w:cs="Arial"/>
          <w:b/>
          <w:bCs/>
          <w:sz w:val="24"/>
          <w:szCs w:val="24"/>
        </w:rPr>
        <w:t>Open issues on mobile IAB capabilities</w:t>
      </w:r>
    </w:p>
    <w:p w14:paraId="25F387E8" w14:textId="45B40D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F467D" w:rsidRPr="00541CA4">
        <w:rPr>
          <w:rFonts w:ascii="Arial" w:hAnsi="Arial" w:cs="Arial"/>
          <w:b/>
          <w:bCs/>
          <w:sz w:val="24"/>
        </w:rPr>
        <w:t>NR_mobile_IAB-Core</w:t>
      </w:r>
      <w:r w:rsidR="00BF467D" w:rsidRPr="00112F1A">
        <w:rPr>
          <w:rFonts w:ascii="Arial" w:hAnsi="Arial" w:cs="Arial"/>
          <w:b/>
          <w:bCs/>
          <w:sz w:val="24"/>
        </w:rPr>
        <w:t xml:space="preserve"> </w:t>
      </w:r>
      <w:r w:rsidR="00BF467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2216DD1" w14:textId="2776825F" w:rsidR="00BF467D" w:rsidRDefault="00BF467D" w:rsidP="00BF467D">
      <w:r>
        <w:t xml:space="preserve">In </w:t>
      </w:r>
      <w:r w:rsidRPr="00577C27">
        <w:t>RAN2</w:t>
      </w:r>
      <w:r>
        <w:t>#12</w:t>
      </w:r>
      <w:r w:rsidR="00482134">
        <w:t>3</w:t>
      </w:r>
      <w:r w:rsidR="00293757">
        <w:t>bis</w:t>
      </w:r>
      <w:r>
        <w:t xml:space="preserve">, </w:t>
      </w:r>
      <w:r w:rsidR="002807C4">
        <w:t>the following agreements</w:t>
      </w:r>
      <w:r w:rsidR="00293757">
        <w:t xml:space="preserve"> and assumptions</w:t>
      </w:r>
      <w:r w:rsidR="002807C4">
        <w:t xml:space="preserve"> were </w:t>
      </w:r>
      <w:r w:rsidR="001D3BEB">
        <w:t xml:space="preserve">made related to the mobile IAB </w:t>
      </w:r>
      <w:r w:rsidR="00B34B11">
        <w:t>capabilities</w:t>
      </w:r>
      <w:r>
        <w:t>:</w:t>
      </w:r>
    </w:p>
    <w:p w14:paraId="503CF625" w14:textId="77777777" w:rsidR="00D57A08" w:rsidRDefault="00D57A08" w:rsidP="0003460F">
      <w:pPr>
        <w:pStyle w:val="Agreement"/>
        <w:numPr>
          <w:ilvl w:val="0"/>
          <w:numId w:val="8"/>
        </w:numPr>
        <w:pBdr>
          <w:top w:val="single" w:sz="4" w:space="1" w:color="auto"/>
          <w:left w:val="single" w:sz="4" w:space="4" w:color="auto"/>
          <w:bottom w:val="single" w:sz="4" w:space="1" w:color="auto"/>
          <w:right w:val="single" w:sz="4" w:space="4" w:color="auto"/>
        </w:pBdr>
      </w:pPr>
      <w:r>
        <w:t>From R2 perspective It is not supported that Rel-18 mobile IAB</w:t>
      </w:r>
      <w:r w:rsidRPr="00A2563B">
        <w:t>-node concurrently operate</w:t>
      </w:r>
      <w:r>
        <w:t xml:space="preserve"> as a Rel-16/17 IAB-node, as </w:t>
      </w:r>
      <w:proofErr w:type="gramStart"/>
      <w:r>
        <w:t>e.g.</w:t>
      </w:r>
      <w:proofErr w:type="gramEnd"/>
      <w:r>
        <w:t xml:space="preserve"> mobile-IAB doesn’t support child IAB nodes. </w:t>
      </w:r>
    </w:p>
    <w:p w14:paraId="4DBBD4BD" w14:textId="77777777" w:rsidR="00D57A08" w:rsidRDefault="00D57A08" w:rsidP="0003460F">
      <w:pPr>
        <w:pStyle w:val="Agreement"/>
        <w:numPr>
          <w:ilvl w:val="0"/>
          <w:numId w:val="8"/>
        </w:numPr>
        <w:pBdr>
          <w:top w:val="single" w:sz="4" w:space="1" w:color="auto"/>
          <w:left w:val="single" w:sz="4" w:space="4" w:color="auto"/>
          <w:bottom w:val="single" w:sz="4" w:space="1" w:color="auto"/>
          <w:right w:val="single" w:sz="4" w:space="4" w:color="auto"/>
        </w:pBdr>
      </w:pPr>
      <w:r>
        <w:t xml:space="preserve">This means that there are restrictions for the network in configuring concurrent use of R-18 </w:t>
      </w:r>
      <w:proofErr w:type="spellStart"/>
      <w:r>
        <w:t>mIAB</w:t>
      </w:r>
      <w:proofErr w:type="spellEnd"/>
      <w:r>
        <w:t xml:space="preserve"> feature(s) and rel-16/17 IAB features (details FFS). </w:t>
      </w:r>
    </w:p>
    <w:p w14:paraId="14104BE9" w14:textId="48853C31" w:rsidR="00D57A08" w:rsidRDefault="00D57A08" w:rsidP="0003460F">
      <w:pPr>
        <w:pStyle w:val="Agreement"/>
        <w:numPr>
          <w:ilvl w:val="0"/>
          <w:numId w:val="8"/>
        </w:numPr>
        <w:pBdr>
          <w:top w:val="single" w:sz="4" w:space="1" w:color="auto"/>
          <w:left w:val="single" w:sz="4" w:space="4" w:color="auto"/>
          <w:bottom w:val="single" w:sz="4" w:space="1" w:color="auto"/>
          <w:right w:val="single" w:sz="4" w:space="4" w:color="auto"/>
        </w:pBdr>
      </w:pPr>
      <w:r>
        <w:t>FFS if an IAB-node may send both MSG5 indications to the network, and the network decides (</w:t>
      </w:r>
      <w:proofErr w:type="gramStart"/>
      <w:r>
        <w:t>or</w:t>
      </w:r>
      <w:proofErr w:type="gramEnd"/>
      <w:r>
        <w:t xml:space="preserve"> if the IAB-node should decide). </w:t>
      </w:r>
    </w:p>
    <w:p w14:paraId="010C6BCF" w14:textId="77777777" w:rsidR="0083351C" w:rsidRDefault="0083351C" w:rsidP="0083351C">
      <w:pPr>
        <w:pStyle w:val="Agreement"/>
        <w:numPr>
          <w:ilvl w:val="0"/>
          <w:numId w:val="8"/>
        </w:numPr>
        <w:pBdr>
          <w:top w:val="single" w:sz="4" w:space="1" w:color="auto"/>
          <w:left w:val="single" w:sz="4" w:space="4" w:color="auto"/>
          <w:bottom w:val="single" w:sz="4" w:space="1" w:color="auto"/>
          <w:right w:val="single" w:sz="4" w:space="4" w:color="auto"/>
        </w:pBdr>
      </w:pPr>
      <w:r>
        <w:t xml:space="preserve">RAN2 assumes that the mobileIAB-NodeIndication-r18 in Msg5 implies a preference/intention, with the purpose to help </w:t>
      </w:r>
      <w:proofErr w:type="spellStart"/>
      <w:r>
        <w:t>gNB</w:t>
      </w:r>
      <w:proofErr w:type="spellEnd"/>
      <w:r>
        <w:t xml:space="preserve"> select core network node at initial registration.</w:t>
      </w:r>
    </w:p>
    <w:p w14:paraId="0B8DCE40" w14:textId="77777777" w:rsidR="0083351C" w:rsidRDefault="0083351C" w:rsidP="0083351C">
      <w:pPr>
        <w:pStyle w:val="Agreement"/>
        <w:numPr>
          <w:ilvl w:val="0"/>
          <w:numId w:val="8"/>
        </w:numPr>
        <w:pBdr>
          <w:top w:val="single" w:sz="4" w:space="1" w:color="auto"/>
          <w:left w:val="single" w:sz="4" w:space="4" w:color="auto"/>
          <w:bottom w:val="single" w:sz="4" w:space="1" w:color="auto"/>
          <w:right w:val="single" w:sz="4" w:space="4" w:color="auto"/>
        </w:pBdr>
      </w:pPr>
      <w:r>
        <w:t>RAN2 assumes that the MT Idle mode behaviours is reflected by a Cap wo signalling in 38306.</w:t>
      </w:r>
    </w:p>
    <w:p w14:paraId="14043907" w14:textId="1671170B" w:rsidR="0083351C" w:rsidRPr="0083351C" w:rsidRDefault="0083351C" w:rsidP="0083351C">
      <w:pPr>
        <w:pStyle w:val="Agreement"/>
        <w:numPr>
          <w:ilvl w:val="0"/>
          <w:numId w:val="8"/>
        </w:numPr>
        <w:pBdr>
          <w:top w:val="single" w:sz="4" w:space="1" w:color="auto"/>
          <w:left w:val="single" w:sz="4" w:space="4" w:color="auto"/>
          <w:bottom w:val="single" w:sz="4" w:space="1" w:color="auto"/>
          <w:right w:val="single" w:sz="4" w:space="4" w:color="auto"/>
        </w:pBdr>
      </w:pPr>
      <w:r>
        <w:t>FFS if a separate mobile-IAB capability (signalled) is introduced in Rel-18</w:t>
      </w:r>
    </w:p>
    <w:p w14:paraId="65318868" w14:textId="668FACB7" w:rsidR="00BF467D" w:rsidRDefault="00282E06" w:rsidP="00E66F7A">
      <w:pPr>
        <w:spacing w:before="120" w:after="0"/>
      </w:pPr>
      <w:r>
        <w:t xml:space="preserve">In this contribution, </w:t>
      </w:r>
      <w:r w:rsidR="003A11C0">
        <w:t xml:space="preserve">we discuss </w:t>
      </w:r>
      <w:r w:rsidR="00E66F7A">
        <w:t>the remaining</w:t>
      </w:r>
      <w:r w:rsidR="00771D7D">
        <w:t xml:space="preserve"> open</w:t>
      </w:r>
      <w:r w:rsidR="00E66F7A">
        <w:t xml:space="preserve"> issues related to </w:t>
      </w:r>
      <w:r w:rsidR="00771D7D">
        <w:t>mobil</w:t>
      </w:r>
      <w:r w:rsidR="00E66F7A">
        <w:t xml:space="preserve">e IAB </w:t>
      </w:r>
      <w:r w:rsidR="00771D7D">
        <w:t>UE c</w:t>
      </w:r>
      <w:r w:rsidR="00E66F7A">
        <w:t>apabilities</w:t>
      </w:r>
      <w:r w:rsidR="00E95DCE">
        <w:t>.</w:t>
      </w:r>
    </w:p>
    <w:p w14:paraId="7D484B6E" w14:textId="43534EA4" w:rsidR="009339CB" w:rsidRPr="006E13D1" w:rsidRDefault="009339CB" w:rsidP="009339CB">
      <w:pPr>
        <w:pStyle w:val="Heading1"/>
      </w:pPr>
      <w:r w:rsidRPr="006E13D1">
        <w:t>2</w:t>
      </w:r>
      <w:r w:rsidRPr="006E13D1">
        <w:tab/>
      </w:r>
      <w:r w:rsidR="00BF467D">
        <w:t>Discussion</w:t>
      </w:r>
    </w:p>
    <w:p w14:paraId="0CAEC25C" w14:textId="4E6EF116" w:rsidR="00B4349D" w:rsidRDefault="007855CA" w:rsidP="009339CB">
      <w:pPr>
        <w:pStyle w:val="Heading2"/>
      </w:pPr>
      <w:r>
        <w:t>2.1</w:t>
      </w:r>
      <w:r w:rsidRPr="007855CA">
        <w:t xml:space="preserve"> </w:t>
      </w:r>
      <w:r w:rsidRPr="006E13D1">
        <w:tab/>
      </w:r>
      <w:r w:rsidR="00510B6D">
        <w:t xml:space="preserve">Relation </w:t>
      </w:r>
      <w:r w:rsidR="004316E5">
        <w:t>between</w:t>
      </w:r>
      <w:r w:rsidR="00510B6D">
        <w:t xml:space="preserve"> Msg5 indications </w:t>
      </w:r>
      <w:r w:rsidR="004316E5">
        <w:t>and</w:t>
      </w:r>
      <w:r w:rsidR="00510B6D">
        <w:t xml:space="preserve"> IAB capabilities</w:t>
      </w:r>
    </w:p>
    <w:p w14:paraId="18A648AF" w14:textId="3A890476" w:rsidR="001A7C5C" w:rsidRDefault="006D27F8" w:rsidP="00DE294E">
      <w:r>
        <w:t>Last meeting, it was agreed that an IAB-node cannot concurrently operate as a Rel-18 mobile IAB</w:t>
      </w:r>
      <w:r w:rsidR="008C1E15">
        <w:t>-node and as a legacy (Rel-16/17) IAB-node</w:t>
      </w:r>
      <w:r w:rsidR="00057174">
        <w:t>.</w:t>
      </w:r>
      <w:r w:rsidR="001A7C5C">
        <w:t xml:space="preserve"> Meanwhile, it was left FFS whether an IAB-node can send </w:t>
      </w:r>
      <w:r w:rsidR="001E6151">
        <w:t>both Msg5</w:t>
      </w:r>
      <w:r w:rsidR="00EE58EA">
        <w:t xml:space="preserve"> indications </w:t>
      </w:r>
      <w:r w:rsidR="00A273F0" w:rsidRPr="001E6151">
        <w:rPr>
          <w:i/>
          <w:iCs/>
        </w:rPr>
        <w:t>iab-NodeIndication-r16</w:t>
      </w:r>
      <w:r w:rsidR="00EE58EA">
        <w:t xml:space="preserve"> and </w:t>
      </w:r>
      <w:r w:rsidR="00EE58EA" w:rsidRPr="001E6151">
        <w:rPr>
          <w:i/>
          <w:iCs/>
        </w:rPr>
        <w:t>mobileIAB-NodeIndication-r18</w:t>
      </w:r>
      <w:r w:rsidR="001E6151">
        <w:t xml:space="preserve"> to the network.</w:t>
      </w:r>
    </w:p>
    <w:p w14:paraId="5E1EE81F" w14:textId="373B17B0" w:rsidR="0055147C" w:rsidRDefault="00DA6C5F" w:rsidP="00DE294E">
      <w:r>
        <w:t xml:space="preserve">For </w:t>
      </w:r>
      <w:r w:rsidR="00D122A0">
        <w:t xml:space="preserve">legacy IAB, </w:t>
      </w:r>
      <w:r w:rsidR="008907E2">
        <w:t xml:space="preserve">there </w:t>
      </w:r>
      <w:r w:rsidR="0079446D">
        <w:t>is</w:t>
      </w:r>
      <w:r w:rsidR="008907E2">
        <w:t xml:space="preserve"> no </w:t>
      </w:r>
      <w:r w:rsidR="0079446D">
        <w:t>specific “IAB capability”</w:t>
      </w:r>
      <w:r w:rsidR="001C35DB">
        <w:t xml:space="preserve"> that is used to identify an IAB-node</w:t>
      </w:r>
      <w:r w:rsidR="0079446D">
        <w:t>. The network identifie</w:t>
      </w:r>
      <w:r w:rsidR="00C174C6">
        <w:t xml:space="preserve">s the </w:t>
      </w:r>
      <w:r w:rsidR="00B01E2B">
        <w:t>IAB-node</w:t>
      </w:r>
      <w:r w:rsidR="00C174C6">
        <w:t xml:space="preserve"> with </w:t>
      </w:r>
      <w:r w:rsidR="00B01E2B" w:rsidRPr="001E6151">
        <w:rPr>
          <w:i/>
          <w:iCs/>
        </w:rPr>
        <w:t>iab-NodeIndication-r16</w:t>
      </w:r>
      <w:r w:rsidR="00C174C6">
        <w:t xml:space="preserve"> and </w:t>
      </w:r>
      <w:r w:rsidR="001C35DB">
        <w:t>relies on other IAB-related capabilities</w:t>
      </w:r>
      <w:r w:rsidR="0089182F">
        <w:t xml:space="preserve"> (as well as generic, non-IAB capabilities)</w:t>
      </w:r>
      <w:r w:rsidR="009043AD">
        <w:t xml:space="preserve"> </w:t>
      </w:r>
      <w:r w:rsidR="0089182F">
        <w:t>to determine what other functions the IAB</w:t>
      </w:r>
      <w:r w:rsidR="00183137">
        <w:t xml:space="preserve"> </w:t>
      </w:r>
      <w:r w:rsidR="0089182F">
        <w:t>supports.</w:t>
      </w:r>
      <w:r w:rsidR="000D5532">
        <w:t xml:space="preserve"> </w:t>
      </w:r>
      <w:r w:rsidR="0055147C">
        <w:t xml:space="preserve">Some </w:t>
      </w:r>
      <w:r w:rsidR="000D5532">
        <w:t>IAB functionality, specifically</w:t>
      </w:r>
      <w:r w:rsidR="00ED1C1D">
        <w:t xml:space="preserve">, </w:t>
      </w:r>
      <w:r w:rsidR="007212FB">
        <w:t>support for child IAB nodes</w:t>
      </w:r>
      <w:r w:rsidR="00076675">
        <w:t xml:space="preserve"> is mandatorily supported by an IAB-node</w:t>
      </w:r>
      <w:r w:rsidR="0012546C">
        <w:t xml:space="preserve"> without capability signalling</w:t>
      </w:r>
      <w:r w:rsidR="00076675">
        <w:t xml:space="preserve"> (provided </w:t>
      </w:r>
      <w:r w:rsidR="0012546C">
        <w:t>the IAB-node</w:t>
      </w:r>
      <w:r w:rsidR="00076675">
        <w:t xml:space="preserve"> is broadcasting </w:t>
      </w:r>
      <w:proofErr w:type="spellStart"/>
      <w:r w:rsidR="00076675" w:rsidRPr="007A1FC5">
        <w:rPr>
          <w:i/>
          <w:iCs/>
        </w:rPr>
        <w:t>iab</w:t>
      </w:r>
      <w:proofErr w:type="spellEnd"/>
      <w:r w:rsidR="00076675" w:rsidRPr="007A1FC5">
        <w:rPr>
          <w:i/>
          <w:iCs/>
        </w:rPr>
        <w:t>-Support</w:t>
      </w:r>
      <w:r w:rsidR="007A1FC5">
        <w:t>)</w:t>
      </w:r>
      <w:r w:rsidR="00076675">
        <w:t>.</w:t>
      </w:r>
    </w:p>
    <w:p w14:paraId="491A49DC" w14:textId="195839E8" w:rsidR="008036F0" w:rsidRDefault="008036F0" w:rsidP="00DE294E">
      <w:r>
        <w:t xml:space="preserve">Likewise, </w:t>
      </w:r>
      <w:r w:rsidR="00E36B17">
        <w:t xml:space="preserve">it is expected that </w:t>
      </w:r>
      <w:r>
        <w:t xml:space="preserve">a network would be able to determine that an </w:t>
      </w:r>
      <w:r w:rsidR="00E36B17">
        <w:t xml:space="preserve">IAB-node supports Rel-18 mobile IAB functionality according to </w:t>
      </w:r>
      <w:r w:rsidR="00E36B17" w:rsidRPr="001E6151">
        <w:rPr>
          <w:i/>
          <w:iCs/>
        </w:rPr>
        <w:t>mobileIAB-NodeIndication-r18</w:t>
      </w:r>
      <w:r w:rsidR="00E36B17">
        <w:t>.</w:t>
      </w:r>
      <w:r w:rsidR="00B45DD0">
        <w:t xml:space="preserve"> </w:t>
      </w:r>
      <w:r w:rsidR="00006AF1">
        <w:t>Aside from the Rel-1</w:t>
      </w:r>
      <w:r w:rsidR="00272F3A">
        <w:t>6</w:t>
      </w:r>
      <w:r w:rsidR="00006AF1">
        <w:t xml:space="preserve"> MR-DC </w:t>
      </w:r>
      <w:r w:rsidR="00272F3A">
        <w:t xml:space="preserve">and Rel-17 NR-DC IAB </w:t>
      </w:r>
      <w:r w:rsidR="00272F3A" w:rsidRPr="00392849">
        <w:t xml:space="preserve">capabilities (which are discussed further </w:t>
      </w:r>
      <w:r w:rsidR="00392849" w:rsidRPr="00392849">
        <w:t>in Section 2.2</w:t>
      </w:r>
      <w:r w:rsidR="00272F3A">
        <w:t xml:space="preserve">), all other </w:t>
      </w:r>
      <w:r w:rsidR="00F231E2">
        <w:rPr>
          <w:i/>
          <w:iCs/>
        </w:rPr>
        <w:t xml:space="preserve">indicated </w:t>
      </w:r>
      <w:r w:rsidR="00866D43">
        <w:t xml:space="preserve">legacy-IAB capabilities </w:t>
      </w:r>
      <w:r w:rsidR="00F231E2">
        <w:t>(</w:t>
      </w:r>
      <w:proofErr w:type="gramStart"/>
      <w:r w:rsidR="00F231E2">
        <w:t>i.e.</w:t>
      </w:r>
      <w:proofErr w:type="gramEnd"/>
      <w:r w:rsidR="00F231E2">
        <w:t xml:space="preserve"> the capabilities listed in TS 38.306) are </w:t>
      </w:r>
      <w:r w:rsidR="00284C86">
        <w:t xml:space="preserve">also </w:t>
      </w:r>
      <w:r w:rsidR="00F231E2">
        <w:t>applicable</w:t>
      </w:r>
      <w:r w:rsidR="00284C86">
        <w:t xml:space="preserve"> for Rel-18 mobile IAB.</w:t>
      </w:r>
      <w:r w:rsidR="00E435A0">
        <w:t xml:space="preserve"> Furthermore, it is expected that </w:t>
      </w:r>
      <w:r w:rsidR="00130212">
        <w:t>mobile IAB will also need to support additional c</w:t>
      </w:r>
      <w:r w:rsidR="00E435A0">
        <w:t xml:space="preserve">apabilities </w:t>
      </w:r>
      <w:r w:rsidR="00130212">
        <w:t xml:space="preserve">in Rel-18 based on discussions in other RAN </w:t>
      </w:r>
      <w:r w:rsidR="00130212" w:rsidRPr="00E90276">
        <w:t>WGs (d</w:t>
      </w:r>
      <w:r w:rsidR="00152918" w:rsidRPr="00E90276">
        <w:t>iscussed further in Section 2.</w:t>
      </w:r>
      <w:r w:rsidR="002C6E39" w:rsidRPr="00E90276">
        <w:t>5</w:t>
      </w:r>
      <w:r w:rsidR="00152918" w:rsidRPr="00E90276">
        <w:t>)</w:t>
      </w:r>
      <w:r w:rsidR="002C6E39" w:rsidRPr="00E90276">
        <w:t>.</w:t>
      </w:r>
      <w:r w:rsidR="00AB6C51" w:rsidRPr="00E90276">
        <w:t xml:space="preserve"> </w:t>
      </w:r>
      <w:r w:rsidR="00414949" w:rsidRPr="00E90276">
        <w:t>A</w:t>
      </w:r>
      <w:r w:rsidR="00A503DA" w:rsidRPr="00E90276">
        <w:t xml:space="preserve"> network</w:t>
      </w:r>
      <w:r w:rsidR="00A503DA">
        <w:t xml:space="preserve"> </w:t>
      </w:r>
      <w:r w:rsidR="00E72B7E">
        <w:t>would</w:t>
      </w:r>
      <w:r w:rsidR="00D013C4">
        <w:t xml:space="preserve"> </w:t>
      </w:r>
      <w:r w:rsidR="00414949">
        <w:t xml:space="preserve">also </w:t>
      </w:r>
      <w:r w:rsidR="00D013C4">
        <w:t xml:space="preserve">be able to understand that an IAB-node supports </w:t>
      </w:r>
      <w:r w:rsidR="00D013C4">
        <w:rPr>
          <w:i/>
          <w:iCs/>
        </w:rPr>
        <w:t xml:space="preserve">full migration </w:t>
      </w:r>
      <w:r w:rsidR="00414949">
        <w:t>based on</w:t>
      </w:r>
      <w:r w:rsidR="00D013C4">
        <w:t xml:space="preserve"> the Rel-18 Msg5 indication</w:t>
      </w:r>
      <w:r w:rsidR="00414949">
        <w:t xml:space="preserve"> (</w:t>
      </w:r>
      <w:proofErr w:type="gramStart"/>
      <w:r w:rsidR="001D500B">
        <w:t>i.e.</w:t>
      </w:r>
      <w:proofErr w:type="gramEnd"/>
      <w:r w:rsidR="001D500B">
        <w:t xml:space="preserve"> without capability signalling</w:t>
      </w:r>
      <w:r w:rsidR="00414949">
        <w:t>)</w:t>
      </w:r>
      <w:r w:rsidR="001D500B">
        <w:t xml:space="preserve">, something which is not supported by legacy IAB. </w:t>
      </w:r>
      <w:r w:rsidR="00AB6C51">
        <w:t xml:space="preserve">On the other hand, </w:t>
      </w:r>
      <w:r w:rsidR="004079BC">
        <w:t xml:space="preserve">based on the Rel-18 Msg5 indication, </w:t>
      </w:r>
      <w:r w:rsidR="000C5A18">
        <w:t>a network should</w:t>
      </w:r>
      <w:r w:rsidR="004079BC">
        <w:t xml:space="preserve"> know to avoid</w:t>
      </w:r>
      <w:r w:rsidR="000C5A18">
        <w:t xml:space="preserve"> configur</w:t>
      </w:r>
      <w:r w:rsidR="004079BC">
        <w:t>ing</w:t>
      </w:r>
      <w:r w:rsidR="000C5A18">
        <w:t xml:space="preserve"> a Rel-18 mobile IAB-node with child nodes</w:t>
      </w:r>
      <w:r w:rsidR="00E84DEF">
        <w:t>.</w:t>
      </w:r>
    </w:p>
    <w:p w14:paraId="2E0F7D67" w14:textId="77777777" w:rsidR="00CC6E8C" w:rsidRDefault="00CC6E8C" w:rsidP="00DE294E">
      <w:pPr>
        <w:rPr>
          <w:b/>
          <w:bCs/>
        </w:rPr>
      </w:pPr>
    </w:p>
    <w:p w14:paraId="1ABEA562" w14:textId="46DC4C5C" w:rsidR="00CC6E8C" w:rsidRDefault="006F43B5" w:rsidP="00DE294E">
      <w:r w:rsidRPr="005F4129">
        <w:rPr>
          <w:b/>
          <w:bCs/>
        </w:rPr>
        <w:lastRenderedPageBreak/>
        <w:t>Observation 1</w:t>
      </w:r>
      <w:r>
        <w:t xml:space="preserve">: </w:t>
      </w:r>
      <w:r w:rsidR="00EB5945">
        <w:t xml:space="preserve">The network assumes </w:t>
      </w:r>
      <w:r w:rsidR="0074706D">
        <w:t>an I</w:t>
      </w:r>
      <w:r w:rsidR="00453555">
        <w:t>AB-node</w:t>
      </w:r>
      <w:r w:rsidR="0074706D">
        <w:t xml:space="preserve"> supports certain</w:t>
      </w:r>
      <w:r w:rsidR="00453555">
        <w:t xml:space="preserve"> </w:t>
      </w:r>
      <w:r w:rsidR="00EB5945">
        <w:t>functionalit</w:t>
      </w:r>
      <w:r w:rsidR="00977516">
        <w:t>ies</w:t>
      </w:r>
      <w:r w:rsidR="00453555">
        <w:t xml:space="preserve"> </w:t>
      </w:r>
      <w:r w:rsidR="00B1620E">
        <w:t>(</w:t>
      </w:r>
      <w:r w:rsidR="00453555">
        <w:t>that</w:t>
      </w:r>
      <w:r w:rsidR="0064539B">
        <w:t xml:space="preserve"> </w:t>
      </w:r>
      <w:r w:rsidR="00977516">
        <w:t>are</w:t>
      </w:r>
      <w:r w:rsidR="0064539B">
        <w:t xml:space="preserve"> not </w:t>
      </w:r>
      <w:r w:rsidR="00977516">
        <w:t>signalled</w:t>
      </w:r>
      <w:r w:rsidR="0064539B">
        <w:t xml:space="preserve"> with UE capabilities</w:t>
      </w:r>
      <w:r w:rsidR="00B1620E">
        <w:t>)</w:t>
      </w:r>
      <w:r w:rsidR="0064539B">
        <w:t xml:space="preserve"> </w:t>
      </w:r>
      <w:r w:rsidR="00EB5945">
        <w:t xml:space="preserve">based on the </w:t>
      </w:r>
      <w:r w:rsidR="001363A1">
        <w:t xml:space="preserve">type of </w:t>
      </w:r>
      <w:r w:rsidR="0064539B">
        <w:t>Msg5 indication</w:t>
      </w:r>
      <w:r w:rsidR="00977516">
        <w:t xml:space="preserve"> sent by the IAB-MT</w:t>
      </w:r>
      <w:r w:rsidR="00CC6E8C">
        <w:t xml:space="preserve">: </w:t>
      </w:r>
    </w:p>
    <w:p w14:paraId="0456C48F" w14:textId="5871A920" w:rsidR="000D5089" w:rsidRDefault="00FC3BC7" w:rsidP="000D5089">
      <w:pPr>
        <w:pStyle w:val="ListParagraph"/>
        <w:numPr>
          <w:ilvl w:val="0"/>
          <w:numId w:val="19"/>
        </w:numPr>
      </w:pPr>
      <w:r w:rsidRPr="001E6151">
        <w:rPr>
          <w:i/>
          <w:iCs/>
        </w:rPr>
        <w:t>iab-NodeIndication-r16</w:t>
      </w:r>
      <w:r w:rsidR="00CC6E8C">
        <w:t xml:space="preserve">: IAB-MT supports </w:t>
      </w:r>
      <w:r w:rsidR="00641CDA">
        <w:t xml:space="preserve">child IAB nodes and does not support full </w:t>
      </w:r>
      <w:proofErr w:type="gramStart"/>
      <w:r w:rsidR="00641CDA">
        <w:t>migration</w:t>
      </w:r>
      <w:proofErr w:type="gramEnd"/>
    </w:p>
    <w:p w14:paraId="75099FAF" w14:textId="6D4D89EA" w:rsidR="00641CDA" w:rsidRDefault="005223A7" w:rsidP="000D5089">
      <w:pPr>
        <w:pStyle w:val="ListParagraph"/>
        <w:numPr>
          <w:ilvl w:val="0"/>
          <w:numId w:val="19"/>
        </w:numPr>
      </w:pPr>
      <w:r w:rsidRPr="001E6151">
        <w:rPr>
          <w:i/>
          <w:iCs/>
        </w:rPr>
        <w:t>mobileIAB-NodeIndication-r18</w:t>
      </w:r>
      <w:r w:rsidR="00641CDA">
        <w:t>: IAB-MT does not support child IAB nodes</w:t>
      </w:r>
      <w:r w:rsidR="00B01102">
        <w:t xml:space="preserve"> and supports full </w:t>
      </w:r>
      <w:proofErr w:type="gramStart"/>
      <w:r w:rsidR="00B01102">
        <w:t>migration</w:t>
      </w:r>
      <w:proofErr w:type="gramEnd"/>
    </w:p>
    <w:p w14:paraId="070F439E" w14:textId="5FB3D641" w:rsidR="005F4129" w:rsidRDefault="00647960" w:rsidP="005F4129">
      <w:r w:rsidRPr="00647960">
        <w:rPr>
          <w:b/>
          <w:bCs/>
        </w:rPr>
        <w:t>Observation 2</w:t>
      </w:r>
      <w:r>
        <w:t xml:space="preserve">: </w:t>
      </w:r>
      <w:r w:rsidR="005F4129">
        <w:t xml:space="preserve">It does not make sense to allow </w:t>
      </w:r>
      <w:r>
        <w:t>an</w:t>
      </w:r>
      <w:r w:rsidR="005F4129">
        <w:t xml:space="preserve"> IAB-MT to send both Msg5 indications concurrently </w:t>
      </w:r>
      <w:r w:rsidR="001B76E5">
        <w:t>since this could be interpreted as contradictory functionality</w:t>
      </w:r>
      <w:r w:rsidR="005F4129">
        <w:t xml:space="preserve"> </w:t>
      </w:r>
      <w:r w:rsidR="001B76E5">
        <w:t>by the network</w:t>
      </w:r>
      <w:r w:rsidR="005F4129">
        <w:t>.</w:t>
      </w:r>
    </w:p>
    <w:p w14:paraId="79FE4187" w14:textId="2EA754F9" w:rsidR="00A06E22" w:rsidRDefault="00A06E22" w:rsidP="005F4129">
      <w:r w:rsidRPr="00A06E22">
        <w:rPr>
          <w:b/>
          <w:bCs/>
        </w:rPr>
        <w:t>Proposal 1</w:t>
      </w:r>
      <w:r>
        <w:t>: An IAB-MT may not send both Msg5 indications concurrently.</w:t>
      </w:r>
    </w:p>
    <w:p w14:paraId="087FD02A" w14:textId="095C616E" w:rsidR="00A06E22" w:rsidRPr="006E13D1" w:rsidRDefault="00A06E22" w:rsidP="00A06E22">
      <w:pPr>
        <w:pStyle w:val="Heading2"/>
      </w:pPr>
      <w:r>
        <w:t>2</w:t>
      </w:r>
      <w:r w:rsidRPr="006E13D1">
        <w:t>.</w:t>
      </w:r>
      <w:r>
        <w:t>2</w:t>
      </w:r>
      <w:r w:rsidRPr="006E13D1">
        <w:tab/>
      </w:r>
      <w:r>
        <w:t>Support for DC-related capabilities in Rel-18 mobile IAB</w:t>
      </w:r>
    </w:p>
    <w:p w14:paraId="2D1291D4" w14:textId="4C83A49E" w:rsidR="00E84DEF" w:rsidRPr="00E36B17" w:rsidRDefault="007F3B99" w:rsidP="00DE294E">
      <w:r>
        <w:t xml:space="preserve">Regarding the DC-related capabilities, </w:t>
      </w:r>
      <w:r w:rsidR="000C32F7">
        <w:t>these were agreed to be down-prioritized for the Rel-18 mobile IAB WI</w:t>
      </w:r>
      <w:r w:rsidR="0068478F">
        <w:t xml:space="preserve"> considering the additional complexity to support this functionality when the IAB-node is mobile. </w:t>
      </w:r>
      <w:r w:rsidR="004F1ECF">
        <w:t xml:space="preserve">Some may argue that </w:t>
      </w:r>
      <w:r w:rsidR="0068478F">
        <w:t>DC</w:t>
      </w:r>
      <w:r w:rsidR="004F1ECF">
        <w:t xml:space="preserve"> could still be supported</w:t>
      </w:r>
      <w:r w:rsidR="0019561C">
        <w:t xml:space="preserve"> in mobile IAB</w:t>
      </w:r>
      <w:r w:rsidR="0068478F">
        <w:t xml:space="preserve"> </w:t>
      </w:r>
      <w:r w:rsidR="00890295">
        <w:t xml:space="preserve">without further specification enhancements, but it is not clear whether </w:t>
      </w:r>
      <w:r w:rsidR="0019561C">
        <w:t xml:space="preserve">that is really the case, and this could lead to some </w:t>
      </w:r>
      <w:r w:rsidR="002000BB">
        <w:t>incompatible/</w:t>
      </w:r>
      <w:r w:rsidR="0019561C">
        <w:t xml:space="preserve">ambiguous behaviour </w:t>
      </w:r>
      <w:r w:rsidR="002000BB">
        <w:t xml:space="preserve">if </w:t>
      </w:r>
      <w:r w:rsidR="000F19E8">
        <w:t xml:space="preserve">both </w:t>
      </w:r>
      <w:r w:rsidR="002000BB">
        <w:t xml:space="preserve">the </w:t>
      </w:r>
      <w:proofErr w:type="spellStart"/>
      <w:r w:rsidR="002000BB">
        <w:t>mIAB</w:t>
      </w:r>
      <w:proofErr w:type="spellEnd"/>
      <w:r w:rsidR="002000BB">
        <w:t xml:space="preserve">-MT/DUs and the network </w:t>
      </w:r>
      <w:r w:rsidR="0021000F">
        <w:t>support DC by implementation</w:t>
      </w:r>
      <w:r w:rsidR="00252508">
        <w:t xml:space="preserve">, which could have adverse impacts for the UEs on board the </w:t>
      </w:r>
      <w:proofErr w:type="spellStart"/>
      <w:r w:rsidR="00252508">
        <w:t>mIAB</w:t>
      </w:r>
      <w:proofErr w:type="spellEnd"/>
      <w:r w:rsidR="00252508">
        <w:t>-node</w:t>
      </w:r>
      <w:r w:rsidR="0021000F">
        <w:t>.</w:t>
      </w:r>
      <w:r w:rsidR="000F19E8">
        <w:t xml:space="preserve"> </w:t>
      </w:r>
      <w:r w:rsidR="00485E2C">
        <w:t xml:space="preserve">To avoid such issues, it is preferrable to disallow </w:t>
      </w:r>
      <w:r w:rsidR="000772BE">
        <w:t>an IAB</w:t>
      </w:r>
      <w:r w:rsidR="006F43B5">
        <w:t>-MT</w:t>
      </w:r>
      <w:r w:rsidR="000772BE">
        <w:t xml:space="preserve"> to use </w:t>
      </w:r>
      <w:r w:rsidR="006F43B5">
        <w:t xml:space="preserve">DC functionality when it is operating as a Rel-18 </w:t>
      </w:r>
      <w:proofErr w:type="spellStart"/>
      <w:r w:rsidR="006F43B5">
        <w:t>mIAB</w:t>
      </w:r>
      <w:proofErr w:type="spellEnd"/>
      <w:r w:rsidR="006F43B5">
        <w:t>-MT.</w:t>
      </w:r>
    </w:p>
    <w:p w14:paraId="1454A1C8" w14:textId="731173F4" w:rsidR="00B64F93" w:rsidRDefault="00B64F93" w:rsidP="00DE294E">
      <w:r w:rsidRPr="00CC32AD">
        <w:rPr>
          <w:b/>
          <w:bCs/>
        </w:rPr>
        <w:t xml:space="preserve">Observation </w:t>
      </w:r>
      <w:r w:rsidR="007F7BDE">
        <w:rPr>
          <w:b/>
          <w:bCs/>
        </w:rPr>
        <w:t>3</w:t>
      </w:r>
      <w:r>
        <w:t xml:space="preserve">: </w:t>
      </w:r>
      <w:r w:rsidR="007F7BDE">
        <w:t>Allowing but not specifying DC-functionality for</w:t>
      </w:r>
      <w:r w:rsidR="002E72ED">
        <w:t xml:space="preserve"> Rel-18</w:t>
      </w:r>
      <w:r w:rsidR="007F7BDE">
        <w:t xml:space="preserve"> mobile IAB would </w:t>
      </w:r>
      <w:r w:rsidR="008A1FB9">
        <w:t xml:space="preserve">potentially </w:t>
      </w:r>
      <w:r w:rsidR="007F7BDE">
        <w:t>lead to ambiguous be</w:t>
      </w:r>
      <w:r w:rsidR="002E72ED">
        <w:t>haviour and</w:t>
      </w:r>
      <w:r w:rsidR="008A1FB9">
        <w:t>/or</w:t>
      </w:r>
      <w:r w:rsidR="002E72ED">
        <w:t xml:space="preserve"> interoperability issues between the network and IAB-node</w:t>
      </w:r>
      <w:r w:rsidR="0091706E">
        <w:t>.</w:t>
      </w:r>
    </w:p>
    <w:p w14:paraId="6731E4C9" w14:textId="0598385B" w:rsidR="00695685" w:rsidRPr="009A5FB2" w:rsidRDefault="00CC32AD" w:rsidP="00695685">
      <w:r w:rsidRPr="000F5382">
        <w:rPr>
          <w:b/>
          <w:bCs/>
        </w:rPr>
        <w:t xml:space="preserve">Proposal </w:t>
      </w:r>
      <w:r w:rsidR="009A5FB2">
        <w:rPr>
          <w:b/>
          <w:bCs/>
        </w:rPr>
        <w:t>2</w:t>
      </w:r>
      <w:r>
        <w:t>:</w:t>
      </w:r>
      <w:r w:rsidR="0005237E">
        <w:t xml:space="preserve"> </w:t>
      </w:r>
      <w:r w:rsidR="0091706E">
        <w:t xml:space="preserve">The network ignores DC capabilities when the IAB-MT indicates </w:t>
      </w:r>
      <w:r w:rsidR="009A5FB2" w:rsidRPr="001E6151">
        <w:rPr>
          <w:i/>
          <w:iCs/>
        </w:rPr>
        <w:t>mobileIAB-NodeIndication-r18</w:t>
      </w:r>
      <w:r w:rsidR="009A5FB2">
        <w:t xml:space="preserve"> in Msg5.</w:t>
      </w:r>
    </w:p>
    <w:p w14:paraId="6A7122DF" w14:textId="3A58A9FD" w:rsidR="006D3E9A" w:rsidRPr="006E13D1" w:rsidRDefault="006D3E9A" w:rsidP="006D3E9A">
      <w:pPr>
        <w:pStyle w:val="Heading2"/>
      </w:pPr>
      <w:r>
        <w:t>2</w:t>
      </w:r>
      <w:r w:rsidRPr="006E13D1">
        <w:t>.</w:t>
      </w:r>
      <w:r w:rsidR="00A83BB7">
        <w:t>3</w:t>
      </w:r>
      <w:r w:rsidRPr="006E13D1">
        <w:tab/>
      </w:r>
      <w:r w:rsidR="00DD0B15">
        <w:t>On need for mobile IAB capability in Rel-18</w:t>
      </w:r>
    </w:p>
    <w:p w14:paraId="720F4ED6" w14:textId="638A4D0E" w:rsidR="00FD4205" w:rsidRDefault="00FD4205" w:rsidP="00FD4205">
      <w:r>
        <w:t xml:space="preserve">In RAN2#119bis, it was agreed to introduce a </w:t>
      </w:r>
      <w:r w:rsidR="0039201C">
        <w:t xml:space="preserve">specific mobile-IAB capability to inform the CU </w:t>
      </w:r>
      <w:r w:rsidR="004D3128">
        <w:t>that the IAB-MT is a “mobile IAB”</w:t>
      </w:r>
      <w:r>
        <w:t>:</w:t>
      </w:r>
    </w:p>
    <w:p w14:paraId="505058A9" w14:textId="77777777" w:rsidR="00FD4205" w:rsidRDefault="00FD4205" w:rsidP="00FD4205">
      <w:pPr>
        <w:pStyle w:val="Agreement"/>
        <w:tabs>
          <w:tab w:val="clear" w:pos="3620"/>
          <w:tab w:val="left" w:pos="1619"/>
          <w:tab w:val="left" w:pos="9990"/>
        </w:tabs>
        <w:autoSpaceDN w:val="0"/>
        <w:ind w:left="1619"/>
        <w:rPr>
          <w:bCs/>
        </w:rPr>
      </w:pPr>
      <w:r>
        <w:rPr>
          <w:bCs/>
        </w:rPr>
        <w:t xml:space="preserve">UE capability signalling is the baseline to let CU know that the MT is a “mobile-IAB” type. FFS early mobile-IAB indication, </w:t>
      </w:r>
      <w:proofErr w:type="gramStart"/>
      <w:r>
        <w:rPr>
          <w:bCs/>
        </w:rPr>
        <w:t>e.g.</w:t>
      </w:r>
      <w:proofErr w:type="gramEnd"/>
      <w:r>
        <w:rPr>
          <w:bCs/>
        </w:rPr>
        <w:t xml:space="preserve"> in Msg5.</w:t>
      </w:r>
    </w:p>
    <w:p w14:paraId="5CAF5A52" w14:textId="1C2D7D45" w:rsidR="00DA625C" w:rsidRDefault="00DA625C" w:rsidP="00DA625C">
      <w:pPr>
        <w:spacing w:before="240"/>
      </w:pPr>
      <w:r>
        <w:t xml:space="preserve">Later, in RAN2#121bis, it was agreed to </w:t>
      </w:r>
      <w:r w:rsidR="00DE6A16">
        <w:t xml:space="preserve">introduce </w:t>
      </w:r>
      <w:r w:rsidR="00DE6A16" w:rsidRPr="001E6151">
        <w:rPr>
          <w:i/>
          <w:iCs/>
        </w:rPr>
        <w:t>mobileIAB-NodeIndication-r18</w:t>
      </w:r>
      <w:r>
        <w:t xml:space="preserve"> </w:t>
      </w:r>
      <w:r w:rsidR="00DE6A16">
        <w:t>to</w:t>
      </w:r>
      <w:r>
        <w:t xml:space="preserve"> Msg5:</w:t>
      </w:r>
    </w:p>
    <w:p w14:paraId="4E28D6D4" w14:textId="77777777" w:rsidR="00DA625C" w:rsidRDefault="00DA625C" w:rsidP="00DA625C">
      <w:pPr>
        <w:pStyle w:val="Agreement"/>
        <w:tabs>
          <w:tab w:val="clear" w:pos="3620"/>
          <w:tab w:val="left" w:pos="1619"/>
        </w:tabs>
        <w:ind w:left="1619"/>
        <w:rPr>
          <w:bCs/>
        </w:rPr>
      </w:pPr>
      <w:r>
        <w:rPr>
          <w:bCs/>
        </w:rPr>
        <w:t>The mobile IAB-MT to include a mobile-IAB indication in Msg. 5.</w:t>
      </w:r>
    </w:p>
    <w:p w14:paraId="2CCA9051" w14:textId="6E69E8C6" w:rsidR="00FD4205" w:rsidRDefault="00DA625C" w:rsidP="00DE6A16">
      <w:pPr>
        <w:spacing w:before="240"/>
      </w:pPr>
      <w:r>
        <w:t xml:space="preserve">This was to align with SA2 normative text in TS 23.501 </w:t>
      </w:r>
      <w:r w:rsidR="007C68CA">
        <w:t xml:space="preserve">section 5.35A.1 </w:t>
      </w:r>
      <w:r>
        <w:t>that specifies that a mobile-IAB indication is provided to the donor CU to select an AMF that supports an IAB-node with mobility</w:t>
      </w:r>
      <w:r w:rsidR="005B6208">
        <w:t>:</w:t>
      </w:r>
    </w:p>
    <w:p w14:paraId="7034851F" w14:textId="13973D15" w:rsidR="005B6208" w:rsidRDefault="005B6208" w:rsidP="005B6208">
      <w:pPr>
        <w:pBdr>
          <w:top w:val="single" w:sz="4" w:space="1" w:color="auto"/>
          <w:left w:val="single" w:sz="4" w:space="4" w:color="auto"/>
          <w:bottom w:val="single" w:sz="4" w:space="1" w:color="auto"/>
          <w:right w:val="single" w:sz="4" w:space="4" w:color="auto"/>
        </w:pBdr>
        <w:spacing w:before="240"/>
        <w:rPr>
          <w:rFonts w:eastAsia="SimSun"/>
        </w:rPr>
      </w:pPr>
      <w:r w:rsidRPr="005B6208">
        <w:rPr>
          <w:lang w:eastAsia="en-GB"/>
        </w:rPr>
        <w:t xml:space="preserve">For a MBSR node to operate as a MBSR,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 If the MBSR node does not operate as a MBSR, </w:t>
      </w:r>
      <w:proofErr w:type="gramStart"/>
      <w:r w:rsidRPr="005B6208">
        <w:rPr>
          <w:lang w:eastAsia="en-GB"/>
        </w:rPr>
        <w:t>e.g.</w:t>
      </w:r>
      <w:proofErr w:type="gramEnd"/>
      <w:r w:rsidRPr="005B6208">
        <w:rPr>
          <w:lang w:eastAsia="en-GB"/>
        </w:rPr>
        <w:t xml:space="preserve"> due to the MBSR authorization indication from AMF, it does not provide the indication when establishing new RRC connection</w:t>
      </w:r>
      <w:r>
        <w:rPr>
          <w:lang w:eastAsia="en-GB"/>
        </w:rPr>
        <w:t>.</w:t>
      </w:r>
    </w:p>
    <w:p w14:paraId="7DF2A56B" w14:textId="4003C008" w:rsidR="005E438B" w:rsidRDefault="005E438B" w:rsidP="005E438B">
      <w:pPr>
        <w:rPr>
          <w:rFonts w:eastAsia="SimSun"/>
        </w:rPr>
      </w:pPr>
      <w:r w:rsidRPr="005E438B">
        <w:rPr>
          <w:rFonts w:eastAsia="SimSun"/>
        </w:rPr>
        <w:t xml:space="preserve">At first it may seem that keeping the mobile-IAB UE capability is not necessary since we already agreed to </w:t>
      </w:r>
      <w:r w:rsidR="00BD0907" w:rsidRPr="001E6151">
        <w:rPr>
          <w:i/>
          <w:iCs/>
        </w:rPr>
        <w:t>mobileIAB-NodeIndication-r18</w:t>
      </w:r>
      <w:r w:rsidRPr="005E438B">
        <w:rPr>
          <w:rFonts w:eastAsia="SimSun"/>
        </w:rPr>
        <w:t xml:space="preserve"> in Msg5. However, we wonder if there is some subtlety to the text from </w:t>
      </w:r>
      <w:r w:rsidR="007C68CA">
        <w:rPr>
          <w:rFonts w:eastAsia="SimSun"/>
        </w:rPr>
        <w:t xml:space="preserve">TS </w:t>
      </w:r>
      <w:r w:rsidRPr="005E438B">
        <w:rPr>
          <w:rFonts w:eastAsia="SimSun"/>
        </w:rPr>
        <w:t xml:space="preserve">23.501, specifically “for a MBSR node </w:t>
      </w:r>
      <w:r w:rsidRPr="005E438B">
        <w:rPr>
          <w:rFonts w:eastAsia="SimSun"/>
          <w:i/>
          <w:iCs/>
        </w:rPr>
        <w:t>to operate as a MBSR</w:t>
      </w:r>
      <w:r w:rsidRPr="005E438B">
        <w:rPr>
          <w:rFonts w:eastAsia="SimSun"/>
        </w:rPr>
        <w:t xml:space="preserve">”. </w:t>
      </w:r>
      <w:r w:rsidR="006D0FEB">
        <w:rPr>
          <w:rFonts w:eastAsia="SimSun"/>
        </w:rPr>
        <w:t xml:space="preserve">Our understanding of </w:t>
      </w:r>
      <w:r w:rsidR="0087481B">
        <w:rPr>
          <w:rFonts w:eastAsia="SimSun"/>
        </w:rPr>
        <w:t xml:space="preserve">SA2’s intention is that there could be </w:t>
      </w:r>
      <w:r w:rsidR="00E90276">
        <w:rPr>
          <w:rFonts w:eastAsia="SimSun"/>
        </w:rPr>
        <w:t>scenarios</w:t>
      </w:r>
      <w:r w:rsidRPr="005E438B">
        <w:rPr>
          <w:rFonts w:eastAsia="SimSun"/>
        </w:rPr>
        <w:t xml:space="preserve"> where a</w:t>
      </w:r>
      <w:r w:rsidR="00BD0907">
        <w:rPr>
          <w:rFonts w:eastAsia="SimSun"/>
        </w:rPr>
        <w:t>n</w:t>
      </w:r>
      <w:r w:rsidRPr="005E438B">
        <w:rPr>
          <w:rFonts w:eastAsia="SimSun"/>
        </w:rPr>
        <w:t xml:space="preserve"> IAB-MT </w:t>
      </w:r>
      <w:proofErr w:type="gramStart"/>
      <w:r w:rsidRPr="005E438B">
        <w:rPr>
          <w:rFonts w:eastAsia="SimSun"/>
        </w:rPr>
        <w:t xml:space="preserve">is </w:t>
      </w:r>
      <w:r w:rsidRPr="005E438B">
        <w:rPr>
          <w:rFonts w:eastAsia="SimSun"/>
          <w:i/>
          <w:iCs/>
        </w:rPr>
        <w:t>capable</w:t>
      </w:r>
      <w:r w:rsidRPr="005E438B">
        <w:rPr>
          <w:rFonts w:eastAsia="SimSun"/>
        </w:rPr>
        <w:t xml:space="preserve"> of acting</w:t>
      </w:r>
      <w:proofErr w:type="gramEnd"/>
      <w:r w:rsidRPr="005E438B">
        <w:rPr>
          <w:rFonts w:eastAsia="SimSun"/>
        </w:rPr>
        <w:t xml:space="preserve"> as a mobile IAB-MT but does not wish to </w:t>
      </w:r>
      <w:r w:rsidRPr="005E438B">
        <w:rPr>
          <w:rFonts w:eastAsia="SimSun"/>
          <w:i/>
          <w:iCs/>
        </w:rPr>
        <w:t xml:space="preserve">operate </w:t>
      </w:r>
      <w:r w:rsidRPr="005E438B">
        <w:rPr>
          <w:rFonts w:eastAsia="SimSun"/>
        </w:rPr>
        <w:t xml:space="preserve">as mobile, and therefore does not indicate as such during the RRC setup procedure. In that case, it could be necessary to keep </w:t>
      </w:r>
      <w:r w:rsidR="00BD0907">
        <w:rPr>
          <w:rFonts w:eastAsia="SimSun"/>
        </w:rPr>
        <w:t>a specific</w:t>
      </w:r>
      <w:r w:rsidRPr="005E438B">
        <w:rPr>
          <w:rFonts w:eastAsia="SimSun"/>
        </w:rPr>
        <w:t xml:space="preserve"> </w:t>
      </w:r>
      <w:r w:rsidR="00BD0907">
        <w:rPr>
          <w:rFonts w:eastAsia="SimSun"/>
        </w:rPr>
        <w:t>“</w:t>
      </w:r>
      <w:r w:rsidRPr="005E438B">
        <w:rPr>
          <w:rFonts w:eastAsia="SimSun"/>
        </w:rPr>
        <w:t>mobile</w:t>
      </w:r>
      <w:r w:rsidR="00BD0907">
        <w:rPr>
          <w:rFonts w:eastAsia="SimSun"/>
        </w:rPr>
        <w:t>-</w:t>
      </w:r>
      <w:r w:rsidRPr="005E438B">
        <w:rPr>
          <w:rFonts w:eastAsia="SimSun"/>
        </w:rPr>
        <w:t>IAB</w:t>
      </w:r>
      <w:r w:rsidR="00BD0907">
        <w:rPr>
          <w:rFonts w:eastAsia="SimSun"/>
        </w:rPr>
        <w:t>”</w:t>
      </w:r>
      <w:r w:rsidRPr="005E438B">
        <w:rPr>
          <w:rFonts w:eastAsia="SimSun"/>
        </w:rPr>
        <w:t xml:space="preserve"> capability despite the Msg5 indication</w:t>
      </w:r>
      <w:r w:rsidR="00BD0907">
        <w:rPr>
          <w:rFonts w:eastAsia="SimSun"/>
        </w:rPr>
        <w:t xml:space="preserve"> </w:t>
      </w:r>
      <w:r w:rsidR="00BD0907" w:rsidRPr="001E6151">
        <w:rPr>
          <w:i/>
          <w:iCs/>
        </w:rPr>
        <w:t>mobileIAB-NodeIndication-r18</w:t>
      </w:r>
      <w:r w:rsidRPr="005E438B">
        <w:rPr>
          <w:rFonts w:eastAsia="SimSun"/>
        </w:rPr>
        <w:t>.</w:t>
      </w:r>
    </w:p>
    <w:p w14:paraId="7E23D60B" w14:textId="01F0FDA5" w:rsidR="00A95401" w:rsidRPr="005E438B" w:rsidRDefault="00A95401" w:rsidP="005E438B">
      <w:pPr>
        <w:rPr>
          <w:rFonts w:eastAsia="SimSun"/>
        </w:rPr>
      </w:pPr>
      <w:r w:rsidRPr="00973EDC">
        <w:rPr>
          <w:rFonts w:eastAsia="SimSun"/>
          <w:b/>
          <w:bCs/>
        </w:rPr>
        <w:t>Observation 4</w:t>
      </w:r>
      <w:r>
        <w:rPr>
          <w:rFonts w:eastAsia="SimSun"/>
        </w:rPr>
        <w:t>: Based o</w:t>
      </w:r>
      <w:r w:rsidR="0096092C">
        <w:rPr>
          <w:rFonts w:eastAsia="SimSun"/>
        </w:rPr>
        <w:t xml:space="preserve">n normative text in TS 23.501, SA2 appears to support </w:t>
      </w:r>
      <w:r w:rsidR="00E90276">
        <w:rPr>
          <w:rFonts w:eastAsia="SimSun"/>
        </w:rPr>
        <w:t>scenarios</w:t>
      </w:r>
      <w:r w:rsidR="00E3034F">
        <w:rPr>
          <w:rFonts w:eastAsia="SimSun"/>
        </w:rPr>
        <w:t xml:space="preserve"> where an IAB-MT </w:t>
      </w:r>
      <w:proofErr w:type="gramStart"/>
      <w:r w:rsidR="00E3034F">
        <w:rPr>
          <w:rFonts w:eastAsia="SimSun"/>
        </w:rPr>
        <w:t xml:space="preserve">is </w:t>
      </w:r>
      <w:r w:rsidR="00E3034F">
        <w:rPr>
          <w:rFonts w:eastAsia="SimSun"/>
          <w:i/>
          <w:iCs/>
        </w:rPr>
        <w:t>capable</w:t>
      </w:r>
      <w:r w:rsidR="00E3034F">
        <w:rPr>
          <w:rFonts w:eastAsia="SimSun"/>
        </w:rPr>
        <w:t xml:space="preserve"> of acting</w:t>
      </w:r>
      <w:proofErr w:type="gramEnd"/>
      <w:r w:rsidR="00E3034F">
        <w:rPr>
          <w:rFonts w:eastAsia="SimSun"/>
        </w:rPr>
        <w:t xml:space="preserve"> as a mobile IAB-MT but does not wish to </w:t>
      </w:r>
      <w:r w:rsidR="00E3034F">
        <w:rPr>
          <w:rFonts w:eastAsia="SimSun"/>
          <w:i/>
          <w:iCs/>
        </w:rPr>
        <w:t>operate</w:t>
      </w:r>
      <w:r w:rsidR="00E3034F">
        <w:rPr>
          <w:rFonts w:eastAsia="SimSun"/>
        </w:rPr>
        <w:t xml:space="preserve"> as a mobile node</w:t>
      </w:r>
      <w:r w:rsidR="00973EDC">
        <w:rPr>
          <w:rFonts w:eastAsia="SimSun"/>
        </w:rPr>
        <w:t xml:space="preserve"> and therefore withholds the mobile IAB Msg5 indication.</w:t>
      </w:r>
    </w:p>
    <w:p w14:paraId="60C10529" w14:textId="77777777" w:rsidR="005E438B" w:rsidRPr="005E438B" w:rsidRDefault="005E438B" w:rsidP="005E438B">
      <w:pPr>
        <w:rPr>
          <w:rFonts w:eastAsia="SimSun"/>
        </w:rPr>
      </w:pPr>
      <w:r w:rsidRPr="005E438B">
        <w:rPr>
          <w:rFonts w:eastAsia="SimSun"/>
        </w:rPr>
        <w:t>Furthermore, we also clarified the following in RAN2#121bis:</w:t>
      </w:r>
    </w:p>
    <w:p w14:paraId="67EFE982" w14:textId="77777777" w:rsidR="005E438B" w:rsidRPr="005E438B" w:rsidRDefault="005E438B" w:rsidP="00B85DE5">
      <w:pPr>
        <w:pStyle w:val="Agreement"/>
        <w:tabs>
          <w:tab w:val="clear" w:pos="3620"/>
          <w:tab w:val="left" w:pos="1619"/>
        </w:tabs>
        <w:ind w:left="1619"/>
        <w:rPr>
          <w:rFonts w:eastAsia="SimSun"/>
          <w:bCs/>
          <w:lang w:eastAsia="ja-JP"/>
        </w:rPr>
      </w:pPr>
      <w:r w:rsidRPr="005E438B">
        <w:rPr>
          <w:rFonts w:eastAsia="SimSun"/>
          <w:bCs/>
          <w:lang w:eastAsia="ja-JP"/>
        </w:rPr>
        <w:lastRenderedPageBreak/>
        <w:t xml:space="preserve">R2 clarifies that A donor broadcasting the “supporting mobile-IAB” indication first checks the UE capability of an IAB node before configuring child nodes for the IAB node or sending a handover request for the node, no impact to RAN2 TS. </w:t>
      </w:r>
    </w:p>
    <w:p w14:paraId="79DE047A" w14:textId="7E3D2CEC" w:rsidR="005E438B" w:rsidRDefault="005E438B" w:rsidP="005E438B">
      <w:pPr>
        <w:spacing w:before="240"/>
        <w:rPr>
          <w:rFonts w:eastAsia="SimSun"/>
        </w:rPr>
      </w:pPr>
      <w:r w:rsidRPr="005E438B">
        <w:rPr>
          <w:rFonts w:eastAsia="SimSun"/>
        </w:rPr>
        <w:t>The first part of this clarification is no</w:t>
      </w:r>
      <w:r w:rsidR="00BE7B6B">
        <w:rPr>
          <w:rFonts w:eastAsia="SimSun"/>
        </w:rPr>
        <w:t xml:space="preserve"> longer</w:t>
      </w:r>
      <w:r w:rsidRPr="005E438B">
        <w:rPr>
          <w:rFonts w:eastAsia="SimSun"/>
        </w:rPr>
        <w:t xml:space="preserve"> essential </w:t>
      </w:r>
      <w:r w:rsidR="00AD2807">
        <w:rPr>
          <w:rFonts w:eastAsia="SimSun"/>
        </w:rPr>
        <w:t xml:space="preserve">since </w:t>
      </w:r>
      <w:r w:rsidRPr="005E438B">
        <w:rPr>
          <w:rFonts w:eastAsia="SimSun"/>
        </w:rPr>
        <w:t>the donor would already know that the IAB is a mobile IAB</w:t>
      </w:r>
      <w:r w:rsidR="002C6E39">
        <w:rPr>
          <w:rFonts w:eastAsia="SimSun"/>
        </w:rPr>
        <w:t xml:space="preserve"> based on the indication </w:t>
      </w:r>
      <w:r w:rsidR="002C6E39" w:rsidRPr="001E6151">
        <w:rPr>
          <w:i/>
          <w:iCs/>
        </w:rPr>
        <w:t>mobileIAB-NodeIndication-r18</w:t>
      </w:r>
      <w:r w:rsidRPr="005E438B">
        <w:rPr>
          <w:rFonts w:eastAsia="SimSun"/>
        </w:rPr>
        <w:t>. However, the second part of the clarification related to the handover was intended so that the source CU would include the “mobile IAB capability” in the handover request message to the target CU (as UE capabilities are anyway included in handover request messages). Therefore, if we forego the mobile IAB capability there could be some impact on RAN3 (</w:t>
      </w:r>
      <w:proofErr w:type="gramStart"/>
      <w:r w:rsidRPr="005E438B">
        <w:rPr>
          <w:rFonts w:eastAsia="SimSun"/>
        </w:rPr>
        <w:t>e.g.</w:t>
      </w:r>
      <w:proofErr w:type="gramEnd"/>
      <w:r w:rsidRPr="005E438B">
        <w:rPr>
          <w:rFonts w:eastAsia="SimSun"/>
        </w:rPr>
        <w:t xml:space="preserve"> possibly a need to include a mobile IAB indication in the </w:t>
      </w:r>
      <w:proofErr w:type="spellStart"/>
      <w:r w:rsidR="0087481B">
        <w:rPr>
          <w:rFonts w:eastAsia="SimSun"/>
        </w:rPr>
        <w:t>Xn</w:t>
      </w:r>
      <w:proofErr w:type="spellEnd"/>
      <w:r w:rsidR="0087481B">
        <w:rPr>
          <w:rFonts w:eastAsia="SimSun"/>
        </w:rPr>
        <w:t xml:space="preserve"> signalling </w:t>
      </w:r>
      <w:r w:rsidR="004B76CF">
        <w:rPr>
          <w:rFonts w:eastAsia="SimSun"/>
        </w:rPr>
        <w:t xml:space="preserve">for the </w:t>
      </w:r>
      <w:r w:rsidRPr="005E438B">
        <w:rPr>
          <w:rFonts w:eastAsia="SimSun"/>
        </w:rPr>
        <w:t>handover request message).</w:t>
      </w:r>
    </w:p>
    <w:p w14:paraId="37D69285" w14:textId="17B6A63E" w:rsidR="00CA3D14" w:rsidRPr="005E438B" w:rsidRDefault="00CA3D14" w:rsidP="005E438B">
      <w:pPr>
        <w:spacing w:before="240"/>
        <w:rPr>
          <w:rFonts w:eastAsia="SimSun"/>
        </w:rPr>
      </w:pPr>
      <w:r w:rsidRPr="0057727D">
        <w:rPr>
          <w:rFonts w:eastAsia="SimSun"/>
          <w:b/>
          <w:bCs/>
        </w:rPr>
        <w:t>Observation 5</w:t>
      </w:r>
      <w:r>
        <w:rPr>
          <w:rFonts w:eastAsia="SimSun"/>
        </w:rPr>
        <w:t>: Not specifying a dedicated mobile</w:t>
      </w:r>
      <w:r w:rsidR="00666F40">
        <w:rPr>
          <w:rFonts w:eastAsia="SimSun"/>
        </w:rPr>
        <w:t>-</w:t>
      </w:r>
      <w:r>
        <w:rPr>
          <w:rFonts w:eastAsia="SimSun"/>
        </w:rPr>
        <w:t xml:space="preserve">IAB capability will require RAN3 to specify a mobile IAB indication </w:t>
      </w:r>
      <w:r w:rsidR="0057727D">
        <w:rPr>
          <w:rFonts w:eastAsia="SimSun"/>
        </w:rPr>
        <w:t xml:space="preserve">in the </w:t>
      </w:r>
      <w:proofErr w:type="spellStart"/>
      <w:r w:rsidR="0057727D">
        <w:rPr>
          <w:rFonts w:eastAsia="SimSun"/>
        </w:rPr>
        <w:t>Xn</w:t>
      </w:r>
      <w:proofErr w:type="spellEnd"/>
      <w:r w:rsidR="0057727D">
        <w:rPr>
          <w:rFonts w:eastAsia="SimSun"/>
        </w:rPr>
        <w:t xml:space="preserve"> handover request message.</w:t>
      </w:r>
    </w:p>
    <w:p w14:paraId="1640D2BA" w14:textId="43E3E80C" w:rsidR="006D3E9A" w:rsidRDefault="009B3C94" w:rsidP="006D3E9A">
      <w:r>
        <w:rPr>
          <w:b/>
          <w:bCs/>
        </w:rPr>
        <w:t xml:space="preserve">Proposal </w:t>
      </w:r>
      <w:r w:rsidR="00750945">
        <w:rPr>
          <w:b/>
          <w:bCs/>
        </w:rPr>
        <w:t>3</w:t>
      </w:r>
      <w:r>
        <w:t xml:space="preserve">: RAN2 </w:t>
      </w:r>
      <w:r w:rsidR="00C528B5">
        <w:t xml:space="preserve">should discuss </w:t>
      </w:r>
      <w:r w:rsidR="00474C0A">
        <w:t xml:space="preserve">whether a </w:t>
      </w:r>
      <w:r w:rsidR="00666F40">
        <w:t xml:space="preserve">dedicated </w:t>
      </w:r>
      <w:r w:rsidR="00474C0A">
        <w:t>mobile</w:t>
      </w:r>
      <w:r w:rsidR="00666F40">
        <w:t>-</w:t>
      </w:r>
      <w:r w:rsidR="00474C0A">
        <w:t>IAB capability is introduced</w:t>
      </w:r>
      <w:r w:rsidR="00666F40">
        <w:t xml:space="preserve"> in Rel-18, considering Observation 4 and Observation 5</w:t>
      </w:r>
    </w:p>
    <w:p w14:paraId="29E00A2A" w14:textId="6EE7C5D8" w:rsidR="00020DE3" w:rsidRPr="006E13D1" w:rsidRDefault="00020DE3" w:rsidP="00020DE3">
      <w:pPr>
        <w:pStyle w:val="Heading2"/>
      </w:pPr>
      <w:r>
        <w:t>2</w:t>
      </w:r>
      <w:r w:rsidRPr="006E13D1">
        <w:t>.</w:t>
      </w:r>
      <w:r w:rsidR="002C6E39">
        <w:t>4</w:t>
      </w:r>
      <w:r w:rsidRPr="006E13D1">
        <w:tab/>
      </w:r>
      <w:r>
        <w:t xml:space="preserve">Capability impacts from RACH-less </w:t>
      </w:r>
      <w:proofErr w:type="gramStart"/>
      <w:r>
        <w:t>handover</w:t>
      </w:r>
      <w:proofErr w:type="gramEnd"/>
    </w:p>
    <w:p w14:paraId="6C158227" w14:textId="2077AE04" w:rsidR="00175E5E" w:rsidRDefault="00F91EB5" w:rsidP="00020DE3">
      <w:r>
        <w:t>RAN2 is still discussing how RACH-less handover will</w:t>
      </w:r>
      <w:r w:rsidR="001B5081">
        <w:t xml:space="preserve"> differ between NTN and mobile IAB</w:t>
      </w:r>
      <w:r w:rsidR="009B4727">
        <w:t xml:space="preserve">. </w:t>
      </w:r>
      <w:r w:rsidR="0075281D">
        <w:t>So far</w:t>
      </w:r>
      <w:r w:rsidR="00977305">
        <w:t>, only</w:t>
      </w:r>
      <w:r w:rsidR="009B4727">
        <w:t xml:space="preserve"> a </w:t>
      </w:r>
      <w:r w:rsidR="00977305">
        <w:t>small number of</w:t>
      </w:r>
      <w:r w:rsidR="009B4727">
        <w:t xml:space="preserve"> differences have been </w:t>
      </w:r>
      <w:r w:rsidR="00977305">
        <w:t>agreed</w:t>
      </w:r>
      <w:r w:rsidR="00292864">
        <w:t xml:space="preserve">, </w:t>
      </w:r>
      <w:proofErr w:type="gramStart"/>
      <w:r w:rsidR="00292864">
        <w:t>e.g.</w:t>
      </w:r>
      <w:proofErr w:type="gramEnd"/>
      <w:r w:rsidR="009B4727">
        <w:t xml:space="preserve"> </w:t>
      </w:r>
      <w:r w:rsidR="00234172" w:rsidRPr="001F7B19">
        <w:t>unchanged</w:t>
      </w:r>
      <w:r w:rsidR="009B4727" w:rsidRPr="001F7B19">
        <w:t xml:space="preserve"> </w:t>
      </w:r>
      <w:r w:rsidR="006F12BB" w:rsidRPr="001F7B19">
        <w:t>PCI c</w:t>
      </w:r>
      <w:r w:rsidR="00234172" w:rsidRPr="001F7B19">
        <w:t>ase and</w:t>
      </w:r>
      <w:r w:rsidR="006F12BB" w:rsidRPr="001F7B19">
        <w:t xml:space="preserve"> </w:t>
      </w:r>
      <w:proofErr w:type="spellStart"/>
      <w:r w:rsidR="00211F94" w:rsidRPr="001F7B19">
        <w:t>targetNT</w:t>
      </w:r>
      <w:r w:rsidR="006F12BB" w:rsidRPr="001F7B19">
        <w:t>A</w:t>
      </w:r>
      <w:proofErr w:type="spellEnd"/>
      <w:r w:rsidR="006F12BB" w:rsidRPr="001F7B19">
        <w:t xml:space="preserve"> </w:t>
      </w:r>
      <w:r w:rsidR="000C2F40" w:rsidRPr="001F7B19">
        <w:t xml:space="preserve">of zero </w:t>
      </w:r>
      <w:r w:rsidR="00234172" w:rsidRPr="001F7B19">
        <w:t>are</w:t>
      </w:r>
      <w:r w:rsidR="000C2F40" w:rsidRPr="001F7B19">
        <w:t xml:space="preserve"> not supported</w:t>
      </w:r>
      <w:r w:rsidR="006F12BB" w:rsidRPr="001F7B19">
        <w:t xml:space="preserve">; </w:t>
      </w:r>
      <w:r w:rsidR="006F12BB" w:rsidRPr="00E12E6A">
        <w:t xml:space="preserve">furthermore, it is still being discussed whether the </w:t>
      </w:r>
      <w:r w:rsidR="00FD0776" w:rsidRPr="00E12E6A">
        <w:t xml:space="preserve">RSRP threshold is needed for </w:t>
      </w:r>
      <w:r w:rsidR="003C6747" w:rsidRPr="00E12E6A">
        <w:t>C</w:t>
      </w:r>
      <w:r w:rsidR="006F12BB" w:rsidRPr="00E12E6A">
        <w:t xml:space="preserve">G </w:t>
      </w:r>
      <w:r w:rsidR="00260116">
        <w:t>in mobile IAB</w:t>
      </w:r>
      <w:r w:rsidR="00241060" w:rsidRPr="00E12E6A">
        <w:t>.</w:t>
      </w:r>
      <w:r w:rsidR="00241060">
        <w:t xml:space="preserve"> </w:t>
      </w:r>
    </w:p>
    <w:p w14:paraId="12F2C680" w14:textId="4CCBA97E" w:rsidR="00020DE3" w:rsidRDefault="00241060" w:rsidP="00020DE3">
      <w:r>
        <w:t>Nonetheless, it is observed that</w:t>
      </w:r>
      <w:r w:rsidR="00175E5E">
        <w:t>,</w:t>
      </w:r>
      <w:r>
        <w:t xml:space="preserve"> the </w:t>
      </w:r>
      <w:r w:rsidR="00F5408F">
        <w:t xml:space="preserve">fundamental procedure for RACH-less handover </w:t>
      </w:r>
      <w:r w:rsidR="00C40A3B">
        <w:t>is the same for both scenarios, and the</w:t>
      </w:r>
      <w:r w:rsidR="00753B37">
        <w:t xml:space="preserve"> agreed </w:t>
      </w:r>
      <w:r w:rsidR="00C40A3B">
        <w:t>differences appear limited</w:t>
      </w:r>
      <w:r w:rsidR="008E512B">
        <w:t xml:space="preserve"> </w:t>
      </w:r>
      <w:r w:rsidR="00006D50">
        <w:t xml:space="preserve">to cases where certain indications (or the content of certain indications) </w:t>
      </w:r>
      <w:r w:rsidR="000F2034">
        <w:t>will apply to NTN only</w:t>
      </w:r>
      <w:r w:rsidR="008E512B">
        <w:t>. Therefore, as the UE capabilities Rapporteur for</w:t>
      </w:r>
      <w:r w:rsidR="00C06D61">
        <w:t xml:space="preserve"> the</w:t>
      </w:r>
      <w:r w:rsidR="008E512B">
        <w:t xml:space="preserve"> mobile IAB WI, </w:t>
      </w:r>
      <w:r w:rsidR="00C06D61">
        <w:t xml:space="preserve">our view </w:t>
      </w:r>
      <w:r w:rsidR="008E512B">
        <w:t xml:space="preserve">is that there is no </w:t>
      </w:r>
      <w:r w:rsidR="00175E5E">
        <w:t>strong reason to differentiate mobile IAB RACH-less and NTN RACH-less within the UE capabilities.</w:t>
      </w:r>
    </w:p>
    <w:p w14:paraId="7C0012D9" w14:textId="14F9C7C8" w:rsidR="00020DE3" w:rsidRDefault="00CF6659" w:rsidP="00695685">
      <w:r w:rsidRPr="00AC4647">
        <w:rPr>
          <w:b/>
          <w:bCs/>
        </w:rPr>
        <w:t xml:space="preserve">Observation </w:t>
      </w:r>
      <w:r w:rsidR="00260116">
        <w:rPr>
          <w:b/>
          <w:bCs/>
        </w:rPr>
        <w:t>6</w:t>
      </w:r>
      <w:r>
        <w:t xml:space="preserve">: The fundamental procedures for </w:t>
      </w:r>
      <w:proofErr w:type="spellStart"/>
      <w:r>
        <w:t>mIAB</w:t>
      </w:r>
      <w:proofErr w:type="spellEnd"/>
      <w:r>
        <w:t xml:space="preserve"> RACH-less HO and NTN RACH-less HO are similar</w:t>
      </w:r>
      <w:r w:rsidR="009D5370">
        <w:t xml:space="preserve">, </w:t>
      </w:r>
      <w:r w:rsidR="00E11D59">
        <w:t xml:space="preserve">only differing by </w:t>
      </w:r>
      <w:r w:rsidR="009D5370">
        <w:t xml:space="preserve">a small number of </w:t>
      </w:r>
      <w:r w:rsidR="00DF22FC">
        <w:t xml:space="preserve">indications </w:t>
      </w:r>
      <w:r w:rsidR="00E11D59">
        <w:t>that are used for</w:t>
      </w:r>
      <w:r w:rsidR="009D5370">
        <w:t xml:space="preserve"> the NTN scenari</w:t>
      </w:r>
      <w:r w:rsidR="00E11D59">
        <w:t>o</w:t>
      </w:r>
      <w:r w:rsidR="009D5370">
        <w:t xml:space="preserve"> only.</w:t>
      </w:r>
    </w:p>
    <w:p w14:paraId="525491A8" w14:textId="288180C2" w:rsidR="00AC4647" w:rsidRPr="000B3776" w:rsidRDefault="00AC4647" w:rsidP="00695685">
      <w:r w:rsidRPr="00AC4647">
        <w:rPr>
          <w:b/>
          <w:bCs/>
        </w:rPr>
        <w:t xml:space="preserve">Proposal </w:t>
      </w:r>
      <w:r w:rsidR="00260116">
        <w:rPr>
          <w:b/>
          <w:bCs/>
        </w:rPr>
        <w:t>4</w:t>
      </w:r>
      <w:r>
        <w:t xml:space="preserve">: The same UE capability applies for </w:t>
      </w:r>
      <w:proofErr w:type="spellStart"/>
      <w:r>
        <w:t>mIAB</w:t>
      </w:r>
      <w:proofErr w:type="spellEnd"/>
      <w:r>
        <w:t xml:space="preserve"> RACH-less as for NTN RACH-less.</w:t>
      </w:r>
    </w:p>
    <w:p w14:paraId="5982B445" w14:textId="5D49218C" w:rsidR="009339CB" w:rsidRPr="006E13D1" w:rsidRDefault="009339CB" w:rsidP="009339CB">
      <w:pPr>
        <w:pStyle w:val="Heading2"/>
      </w:pPr>
      <w:r>
        <w:t>2</w:t>
      </w:r>
      <w:r w:rsidRPr="006E13D1">
        <w:t>.</w:t>
      </w:r>
      <w:r w:rsidR="002C6E39">
        <w:t>5</w:t>
      </w:r>
      <w:r w:rsidRPr="006E13D1">
        <w:tab/>
      </w:r>
      <w:r w:rsidR="00B9617A">
        <w:t xml:space="preserve">Capability </w:t>
      </w:r>
      <w:r w:rsidR="00020DE3">
        <w:t>i</w:t>
      </w:r>
      <w:r w:rsidR="006C2300">
        <w:t xml:space="preserve">mpacts from other </w:t>
      </w:r>
      <w:r w:rsidR="00740654">
        <w:t xml:space="preserve">RAN </w:t>
      </w:r>
      <w:r w:rsidR="006C2300">
        <w:t>WGs</w:t>
      </w:r>
    </w:p>
    <w:p w14:paraId="64477B13" w14:textId="6DCF59CC" w:rsidR="00E472B7" w:rsidRDefault="00B9617A" w:rsidP="009339CB">
      <w:r>
        <w:t xml:space="preserve">In addition to the capabilities impacts from the RAN2 agreements, </w:t>
      </w:r>
      <w:r w:rsidR="00740654">
        <w:t xml:space="preserve">some of </w:t>
      </w:r>
      <w:r w:rsidR="00315D41">
        <w:t xml:space="preserve">details already agreed or </w:t>
      </w:r>
      <w:r w:rsidR="00740654">
        <w:t>under discussion in other RAN WGs may also have impacts on the mobile IAB’s capabilities.</w:t>
      </w:r>
    </w:p>
    <w:p w14:paraId="17BCB5E2" w14:textId="4B0F55F9" w:rsidR="00740654" w:rsidRDefault="00740654" w:rsidP="009339CB">
      <w:r w:rsidRPr="00BF338D">
        <w:t xml:space="preserve">During the </w:t>
      </w:r>
      <w:r w:rsidR="00BF338D" w:rsidRPr="00BF338D">
        <w:t>[Post123][051][</w:t>
      </w:r>
      <w:proofErr w:type="spellStart"/>
      <w:r w:rsidR="00BF338D" w:rsidRPr="00BF338D">
        <w:t>mIAB</w:t>
      </w:r>
      <w:proofErr w:type="spellEnd"/>
      <w:r w:rsidR="00BF338D" w:rsidRPr="00BF338D">
        <w:t xml:space="preserve">] Running CRs UE caps </w:t>
      </w:r>
      <w:r w:rsidR="00056CDA" w:rsidRPr="00BF338D">
        <w:t>discus</w:t>
      </w:r>
      <w:r w:rsidR="00056CDA">
        <w:t xml:space="preserve">sion </w:t>
      </w:r>
      <w:r w:rsidR="00C576FA">
        <w:t>[</w:t>
      </w:r>
      <w:hyperlink r:id="rId12" w:history="1">
        <w:r w:rsidR="00C576FA" w:rsidRPr="00C576FA">
          <w:rPr>
            <w:rStyle w:val="Hyperlink"/>
          </w:rPr>
          <w:t>R2-2310124</w:t>
        </w:r>
      </w:hyperlink>
      <w:r w:rsidR="00C576FA">
        <w:t xml:space="preserve">] </w:t>
      </w:r>
      <w:r w:rsidR="00056CDA">
        <w:t xml:space="preserve">it was observed that </w:t>
      </w:r>
      <w:r w:rsidR="00E472B7">
        <w:t xml:space="preserve">there will likely be impacts on </w:t>
      </w:r>
      <w:r w:rsidR="00E472B7" w:rsidRPr="00257CE5">
        <w:t>the IAB</w:t>
      </w:r>
      <w:r w:rsidR="00506664">
        <w:t>-MT</w:t>
      </w:r>
      <w:r w:rsidR="00E472B7" w:rsidRPr="00257CE5">
        <w:t xml:space="preserve"> </w:t>
      </w:r>
      <w:proofErr w:type="spellStart"/>
      <w:r w:rsidR="00E472B7" w:rsidRPr="00B30B36">
        <w:rPr>
          <w:i/>
          <w:iCs/>
        </w:rPr>
        <w:t>MeasAndMob</w:t>
      </w:r>
      <w:r w:rsidR="00257CE5" w:rsidRPr="00B30B36">
        <w:rPr>
          <w:i/>
          <w:iCs/>
        </w:rPr>
        <w:t>P</w:t>
      </w:r>
      <w:r w:rsidR="00E472B7" w:rsidRPr="00B30B36">
        <w:rPr>
          <w:i/>
          <w:iCs/>
        </w:rPr>
        <w:t>arameters</w:t>
      </w:r>
      <w:proofErr w:type="spellEnd"/>
      <w:r w:rsidR="008634C7">
        <w:rPr>
          <w:i/>
          <w:iCs/>
        </w:rPr>
        <w:t xml:space="preserve"> </w:t>
      </w:r>
      <w:r w:rsidR="008634C7">
        <w:t>in</w:t>
      </w:r>
      <w:r w:rsidR="00E472B7" w:rsidRPr="00257CE5">
        <w:t xml:space="preserve"> TS 38.306 section </w:t>
      </w:r>
      <w:r w:rsidR="00257CE5" w:rsidRPr="00257CE5">
        <w:t>4.2.15.8</w:t>
      </w:r>
      <w:r w:rsidR="00257CE5">
        <w:t>.</w:t>
      </w:r>
      <w:r w:rsidR="0060594E">
        <w:t xml:space="preserve"> Considering RAN4 </w:t>
      </w:r>
      <w:r w:rsidR="002E6094">
        <w:t>is already</w:t>
      </w:r>
      <w:r w:rsidR="0060594E">
        <w:t xml:space="preserve"> working on this, it seems </w:t>
      </w:r>
      <w:r w:rsidR="00FF23A3">
        <w:t>quite likely that they will</w:t>
      </w:r>
      <w:r w:rsidR="002E6094">
        <w:t xml:space="preserve"> later</w:t>
      </w:r>
      <w:r w:rsidR="00FF23A3">
        <w:t xml:space="preserve"> send an LS to RAN2 to take account of the relevant impacts.</w:t>
      </w:r>
    </w:p>
    <w:p w14:paraId="62BC0E16" w14:textId="1855F5F5" w:rsidR="006325BD" w:rsidRDefault="006325BD" w:rsidP="009339CB">
      <w:r w:rsidRPr="00880851">
        <w:rPr>
          <w:b/>
          <w:bCs/>
        </w:rPr>
        <w:t xml:space="preserve">Observation </w:t>
      </w:r>
      <w:r w:rsidR="00260116">
        <w:rPr>
          <w:b/>
          <w:bCs/>
        </w:rPr>
        <w:t>7</w:t>
      </w:r>
      <w:r>
        <w:t xml:space="preserve">: RAN4 </w:t>
      </w:r>
      <w:r w:rsidR="00BC06F1">
        <w:t xml:space="preserve">is already working on the measurement and mobility-related requirements for mobile IAB, and RAN2 can expect an LS from RAN4 </w:t>
      </w:r>
      <w:r w:rsidR="00880851">
        <w:t>to take these impacts into consideration in TS 38.306.</w:t>
      </w:r>
    </w:p>
    <w:p w14:paraId="56224C46" w14:textId="25372EE6" w:rsidR="00FF23A3" w:rsidRDefault="00FF23A3" w:rsidP="009339CB">
      <w:r>
        <w:t>Additionally, RAN3 also made an agreement last meeting which appears to have an impact on the capabilities for mobile IAB</w:t>
      </w:r>
      <w:r w:rsidR="00D40DAE">
        <w:t>, as noted in their LS to RAN2</w:t>
      </w:r>
      <w:r w:rsidR="001B4D6F">
        <w:t xml:space="preserve"> in </w:t>
      </w:r>
      <w:hyperlink r:id="rId13" w:history="1">
        <w:r w:rsidR="00AE4B60" w:rsidRPr="00B05AEC">
          <w:rPr>
            <w:rStyle w:val="Hyperlink"/>
          </w:rPr>
          <w:t>R3-235919</w:t>
        </w:r>
      </w:hyperlink>
      <w:r w:rsidR="00B05AEC">
        <w:t>:</w:t>
      </w:r>
    </w:p>
    <w:p w14:paraId="6365CEE2" w14:textId="77777777" w:rsidR="00857933" w:rsidRPr="00857933" w:rsidRDefault="00857933" w:rsidP="008706CA">
      <w:pPr>
        <w:pBdr>
          <w:top w:val="single" w:sz="4" w:space="1" w:color="auto"/>
          <w:left w:val="single" w:sz="4" w:space="4" w:color="auto"/>
          <w:bottom w:val="single" w:sz="4" w:space="1" w:color="auto"/>
          <w:right w:val="single" w:sz="4" w:space="4" w:color="auto"/>
        </w:pBdr>
        <w:spacing w:after="120" w:line="256" w:lineRule="auto"/>
        <w:rPr>
          <w:rFonts w:ascii="Arial" w:eastAsia="DengXian" w:hAnsi="Arial" w:cs="Arial"/>
          <w:lang w:eastAsia="en-GB"/>
        </w:rPr>
      </w:pPr>
      <w:r w:rsidRPr="00857933">
        <w:rPr>
          <w:rFonts w:ascii="Arial" w:eastAsia="DengXian" w:hAnsi="Arial" w:cs="Arial"/>
          <w:lang w:eastAsia="en-GB"/>
        </w:rPr>
        <w:t xml:space="preserve">RAN3 has discussed the mobility support for mobile IAB, and achieved the following agreement to allow the mobile IAB-node determining the </w:t>
      </w:r>
      <w:proofErr w:type="spellStart"/>
      <w:r w:rsidRPr="00857933">
        <w:rPr>
          <w:rFonts w:ascii="Arial" w:eastAsia="DengXian" w:hAnsi="Arial" w:cs="Arial"/>
          <w:lang w:eastAsia="en-GB"/>
        </w:rPr>
        <w:t>gNB</w:t>
      </w:r>
      <w:proofErr w:type="spellEnd"/>
      <w:r w:rsidRPr="00857933">
        <w:rPr>
          <w:rFonts w:ascii="Arial" w:eastAsia="DengXian" w:hAnsi="Arial" w:cs="Arial"/>
          <w:lang w:eastAsia="en-GB"/>
        </w:rPr>
        <w:t xml:space="preserve"> ID of the RRC-terminating IAB-donor:</w:t>
      </w:r>
    </w:p>
    <w:p w14:paraId="53BEB13B" w14:textId="77777777" w:rsidR="00857933" w:rsidRPr="00857933" w:rsidRDefault="00857933" w:rsidP="008706CA">
      <w:pPr>
        <w:pBdr>
          <w:top w:val="single" w:sz="4" w:space="1" w:color="auto"/>
          <w:left w:val="single" w:sz="4" w:space="4" w:color="auto"/>
          <w:bottom w:val="single" w:sz="4" w:space="1" w:color="auto"/>
          <w:right w:val="single" w:sz="4" w:space="4" w:color="auto"/>
        </w:pBdr>
        <w:spacing w:line="256" w:lineRule="auto"/>
        <w:rPr>
          <w:rFonts w:ascii="Calibri" w:eastAsia="DengXian" w:hAnsi="Calibri" w:cs="Calibri"/>
          <w:b/>
          <w:bCs/>
        </w:rPr>
      </w:pPr>
      <w:r w:rsidRPr="00857933">
        <w:rPr>
          <w:rFonts w:ascii="Calibri" w:eastAsia="DengXian" w:hAnsi="Calibri" w:cs="Calibri"/>
          <w:b/>
          <w:bCs/>
        </w:rPr>
        <w:t xml:space="preserve">RAN3 assumes that the parent cell supporting mobile IAB access should always broadcast </w:t>
      </w:r>
      <w:proofErr w:type="spellStart"/>
      <w:r w:rsidRPr="00857933">
        <w:rPr>
          <w:rFonts w:ascii="Calibri" w:eastAsia="DengXian" w:hAnsi="Calibri" w:cs="Calibri"/>
          <w:b/>
          <w:bCs/>
        </w:rPr>
        <w:t>gNB</w:t>
      </w:r>
      <w:proofErr w:type="spellEnd"/>
      <w:r w:rsidRPr="00857933">
        <w:rPr>
          <w:rFonts w:ascii="Calibri" w:eastAsia="DengXian" w:hAnsi="Calibri" w:cs="Calibri"/>
          <w:b/>
          <w:bCs/>
        </w:rPr>
        <w:t xml:space="preserve">-ID-Length in SIB1, and the </w:t>
      </w:r>
      <w:proofErr w:type="spellStart"/>
      <w:r w:rsidRPr="00857933">
        <w:rPr>
          <w:rFonts w:ascii="Calibri" w:eastAsia="DengXian" w:hAnsi="Calibri" w:cs="Calibri"/>
          <w:b/>
          <w:bCs/>
        </w:rPr>
        <w:t>mIAB</w:t>
      </w:r>
      <w:proofErr w:type="spellEnd"/>
      <w:r w:rsidRPr="00857933">
        <w:rPr>
          <w:rFonts w:ascii="Calibri" w:eastAsia="DengXian" w:hAnsi="Calibri" w:cs="Calibri"/>
          <w:b/>
          <w:bCs/>
        </w:rPr>
        <w:t>-MT should be able to decode this information.</w:t>
      </w:r>
    </w:p>
    <w:p w14:paraId="302D29CD" w14:textId="18CC4652" w:rsidR="005C6AB7" w:rsidRDefault="00D741D5" w:rsidP="009339CB">
      <w:r>
        <w:t xml:space="preserve">Acquisition of </w:t>
      </w:r>
      <w:proofErr w:type="spellStart"/>
      <w:r w:rsidRPr="00D741D5">
        <w:rPr>
          <w:i/>
          <w:iCs/>
        </w:rPr>
        <w:t>gNB</w:t>
      </w:r>
      <w:proofErr w:type="spellEnd"/>
      <w:r w:rsidRPr="00D741D5">
        <w:rPr>
          <w:i/>
          <w:iCs/>
        </w:rPr>
        <w:t>-ID-Length</w:t>
      </w:r>
      <w:r>
        <w:t xml:space="preserve"> requires a UE to support the </w:t>
      </w:r>
      <w:r w:rsidRPr="00D741D5">
        <w:rPr>
          <w:i/>
          <w:iCs/>
        </w:rPr>
        <w:t>gNB-ID-LengthReporting-r17</w:t>
      </w:r>
      <w:r>
        <w:t xml:space="preserve"> capability</w:t>
      </w:r>
      <w:r w:rsidR="00ED627B">
        <w:t xml:space="preserve">, which is mandatory to support for </w:t>
      </w:r>
      <w:r w:rsidR="001245D7">
        <w:t xml:space="preserve">any UE supporting the </w:t>
      </w:r>
      <w:r w:rsidR="00E95813" w:rsidRPr="00792B7D">
        <w:rPr>
          <w:i/>
          <w:iCs/>
        </w:rPr>
        <w:t>nr-CGI-Reporting</w:t>
      </w:r>
      <w:r w:rsidR="001245D7">
        <w:t xml:space="preserve"> capability.</w:t>
      </w:r>
      <w:r w:rsidR="005D764D">
        <w:t xml:space="preserve"> </w:t>
      </w:r>
      <w:r w:rsidR="008327E7">
        <w:t xml:space="preserve">Normally all </w:t>
      </w:r>
      <w:r w:rsidR="00120E4F">
        <w:t xml:space="preserve">“normal” </w:t>
      </w:r>
      <w:r w:rsidR="008327E7">
        <w:t xml:space="preserve">UEs (except </w:t>
      </w:r>
      <w:proofErr w:type="spellStart"/>
      <w:r w:rsidR="008327E7">
        <w:t>RedCap</w:t>
      </w:r>
      <w:proofErr w:type="spellEnd"/>
      <w:r w:rsidR="008327E7">
        <w:t xml:space="preserve"> UEs) are mandated to support </w:t>
      </w:r>
      <w:r w:rsidR="008327E7" w:rsidRPr="00792B7D">
        <w:rPr>
          <w:i/>
          <w:iCs/>
        </w:rPr>
        <w:t>nr-CGI-Reporting</w:t>
      </w:r>
      <w:r w:rsidR="008327E7">
        <w:t xml:space="preserve">; however, </w:t>
      </w:r>
      <w:r w:rsidR="00533371">
        <w:t xml:space="preserve">at present, </w:t>
      </w:r>
      <w:r w:rsidR="00120E4F">
        <w:t>this requirement does not extend to IAB-MT</w:t>
      </w:r>
      <w:r w:rsidR="00DA2EF1">
        <w:t xml:space="preserve">, as TS 38.306 clause 4.2.15.1 states </w:t>
      </w:r>
      <w:r w:rsidR="00861FA0">
        <w:t>the following</w:t>
      </w:r>
      <w:r w:rsidR="00ED1D1C">
        <w:t>:</w:t>
      </w:r>
    </w:p>
    <w:p w14:paraId="58A33364" w14:textId="77777777" w:rsidR="00ED1D1C" w:rsidRPr="0095297E" w:rsidRDefault="00ED1D1C" w:rsidP="00ED1D1C">
      <w:pPr>
        <w:pBdr>
          <w:top w:val="single" w:sz="4" w:space="1" w:color="auto"/>
          <w:left w:val="single" w:sz="4" w:space="4" w:color="auto"/>
          <w:bottom w:val="single" w:sz="4" w:space="1" w:color="auto"/>
          <w:right w:val="single" w:sz="4" w:space="4" w:color="auto"/>
        </w:pBdr>
      </w:pPr>
      <w:r w:rsidRPr="0095297E">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34815299" w14:textId="736AB948" w:rsidR="00B3458E" w:rsidRDefault="00E10427" w:rsidP="00B3458E">
      <w:r>
        <w:lastRenderedPageBreak/>
        <w:t>Therefore, for mobile IAB</w:t>
      </w:r>
      <w:r w:rsidR="00C10F66">
        <w:t>-MT</w:t>
      </w:r>
      <w:r>
        <w:t xml:space="preserve"> to support</w:t>
      </w:r>
      <w:r w:rsidR="00E91DA8">
        <w:t xml:space="preserve"> </w:t>
      </w:r>
      <w:proofErr w:type="spellStart"/>
      <w:r w:rsidR="00E91DA8" w:rsidRPr="00D741D5">
        <w:rPr>
          <w:i/>
          <w:iCs/>
        </w:rPr>
        <w:t>gNB</w:t>
      </w:r>
      <w:proofErr w:type="spellEnd"/>
      <w:r w:rsidR="00E91DA8" w:rsidRPr="00D741D5">
        <w:rPr>
          <w:i/>
          <w:iCs/>
        </w:rPr>
        <w:t>-ID-Length</w:t>
      </w:r>
      <w:r w:rsidR="00E91DA8">
        <w:t xml:space="preserve"> acquisition, it would need to support</w:t>
      </w:r>
      <w:r w:rsidR="00C10F66">
        <w:t xml:space="preserve"> </w:t>
      </w:r>
      <w:r w:rsidR="00C10F66" w:rsidRPr="00792B7D">
        <w:rPr>
          <w:i/>
          <w:iCs/>
        </w:rPr>
        <w:t>nr-CGI-Reporting</w:t>
      </w:r>
      <w:r w:rsidR="00C10F66">
        <w:t>, or at the</w:t>
      </w:r>
      <w:r w:rsidR="004B5286">
        <w:t xml:space="preserve"> very</w:t>
      </w:r>
      <w:r w:rsidR="00C10F66">
        <w:t xml:space="preserve"> least </w:t>
      </w:r>
      <w:r w:rsidR="00C10F66" w:rsidRPr="00D741D5">
        <w:rPr>
          <w:i/>
          <w:iCs/>
        </w:rPr>
        <w:t>gNB-ID-LengthReporting-r17</w:t>
      </w:r>
      <w:r w:rsidR="00C10F66">
        <w:t xml:space="preserve">. Quite possibly, based on the RAN4 agreements, </w:t>
      </w:r>
      <w:r w:rsidR="00C10F66" w:rsidRPr="00792B7D">
        <w:rPr>
          <w:i/>
          <w:iCs/>
        </w:rPr>
        <w:t>nr-CGI-Reporting</w:t>
      </w:r>
      <w:r w:rsidR="00C10F66">
        <w:t xml:space="preserve"> could become a mandatory capability for mobile IAB-MT as well</w:t>
      </w:r>
      <w:r w:rsidR="004B5286">
        <w:t>.</w:t>
      </w:r>
    </w:p>
    <w:p w14:paraId="4FEF444A" w14:textId="0F923BA9" w:rsidR="00AA04F9" w:rsidRDefault="00AA04F9" w:rsidP="00B3458E">
      <w:r w:rsidRPr="00D322B2">
        <w:rPr>
          <w:b/>
          <w:bCs/>
        </w:rPr>
        <w:t xml:space="preserve">Observation </w:t>
      </w:r>
      <w:r w:rsidR="00260116">
        <w:rPr>
          <w:b/>
          <w:bCs/>
        </w:rPr>
        <w:t>8</w:t>
      </w:r>
      <w:r>
        <w:t xml:space="preserve">: </w:t>
      </w:r>
      <w:r w:rsidR="00E122A4">
        <w:t xml:space="preserve">RAN3 agreed that </w:t>
      </w:r>
      <w:proofErr w:type="spellStart"/>
      <w:r w:rsidR="00E122A4">
        <w:t>mIAB</w:t>
      </w:r>
      <w:proofErr w:type="spellEnd"/>
      <w:r w:rsidR="00E122A4">
        <w:t xml:space="preserve">-MT should be able to decode </w:t>
      </w:r>
      <w:proofErr w:type="spellStart"/>
      <w:r w:rsidR="00E122A4" w:rsidRPr="00D322B2">
        <w:rPr>
          <w:i/>
          <w:iCs/>
        </w:rPr>
        <w:t>gNB</w:t>
      </w:r>
      <w:proofErr w:type="spellEnd"/>
      <w:r w:rsidR="00E122A4" w:rsidRPr="00D322B2">
        <w:rPr>
          <w:i/>
          <w:iCs/>
        </w:rPr>
        <w:t>-ID-Length</w:t>
      </w:r>
      <w:r w:rsidR="00E122A4">
        <w:t xml:space="preserve">, which requires </w:t>
      </w:r>
      <w:proofErr w:type="spellStart"/>
      <w:r w:rsidR="00E122A4">
        <w:t>mIAB</w:t>
      </w:r>
      <w:proofErr w:type="spellEnd"/>
      <w:r w:rsidR="00E122A4">
        <w:t>-MT to support</w:t>
      </w:r>
      <w:r w:rsidR="00D322B2">
        <w:t xml:space="preserve"> the</w:t>
      </w:r>
      <w:r w:rsidR="00E122A4">
        <w:t xml:space="preserve"> </w:t>
      </w:r>
      <w:r w:rsidR="00D322B2" w:rsidRPr="00D322B2">
        <w:rPr>
          <w:i/>
          <w:iCs/>
        </w:rPr>
        <w:t>gNB-ID-LengthReporting-r17</w:t>
      </w:r>
      <w:r w:rsidR="00D322B2">
        <w:t xml:space="preserve"> capability.</w:t>
      </w:r>
    </w:p>
    <w:p w14:paraId="04F7F58C" w14:textId="61D6EF1F" w:rsidR="004B5286" w:rsidRPr="004B5286" w:rsidRDefault="004B5286" w:rsidP="00B3458E">
      <w:r>
        <w:t xml:space="preserve">For now, this requirement for IAB-MT to support </w:t>
      </w:r>
      <w:r w:rsidRPr="00D741D5">
        <w:rPr>
          <w:i/>
          <w:iCs/>
        </w:rPr>
        <w:t>gNB-ID-LengthReporting-r17</w:t>
      </w:r>
      <w:r>
        <w:t xml:space="preserve"> has been </w:t>
      </w:r>
      <w:r w:rsidR="007D06EF">
        <w:t>captured in an Editor’s Note</w:t>
      </w:r>
      <w:r>
        <w:t xml:space="preserve"> in the CR for TS 38.</w:t>
      </w:r>
      <w:r w:rsidRPr="00B734B6">
        <w:t>306</w:t>
      </w:r>
      <w:r w:rsidR="00BD627F" w:rsidRPr="00B734B6">
        <w:t xml:space="preserve"> </w:t>
      </w:r>
      <w:r w:rsidR="004403A6" w:rsidRPr="00B734B6">
        <w:t>[</w:t>
      </w:r>
      <w:hyperlink r:id="rId14" w:history="1">
        <w:r w:rsidR="004403A6" w:rsidRPr="00B734B6">
          <w:rPr>
            <w:rStyle w:val="Hyperlink"/>
          </w:rPr>
          <w:t>R2-231</w:t>
        </w:r>
        <w:r w:rsidR="009A26BE" w:rsidRPr="00B734B6">
          <w:rPr>
            <w:rStyle w:val="Hyperlink"/>
          </w:rPr>
          <w:t>3196</w:t>
        </w:r>
      </w:hyperlink>
      <w:r w:rsidR="004403A6" w:rsidRPr="00B734B6">
        <w:t>]</w:t>
      </w:r>
      <w:r w:rsidR="00AA04F9" w:rsidRPr="00B734B6">
        <w:t>.</w:t>
      </w:r>
    </w:p>
    <w:p w14:paraId="69B7B8E6" w14:textId="69E07FC9" w:rsidR="009339CB" w:rsidRPr="006E13D1" w:rsidRDefault="005A13AB" w:rsidP="009339CB">
      <w:pPr>
        <w:pStyle w:val="Heading1"/>
      </w:pPr>
      <w:r>
        <w:t>3</w:t>
      </w:r>
      <w:r w:rsidR="009339CB" w:rsidRPr="006E13D1">
        <w:tab/>
      </w:r>
      <w:r w:rsidR="009339CB">
        <w:t>Conclusion</w:t>
      </w:r>
    </w:p>
    <w:p w14:paraId="70238E45" w14:textId="77777777" w:rsidR="00E30193" w:rsidRPr="006E13D1" w:rsidRDefault="00E30193" w:rsidP="00E30193">
      <w:r>
        <w:t>This document has made the following observations:</w:t>
      </w:r>
    </w:p>
    <w:p w14:paraId="15038482" w14:textId="77777777" w:rsidR="003F223B" w:rsidRDefault="003F223B" w:rsidP="003F223B">
      <w:r w:rsidRPr="005F4129">
        <w:rPr>
          <w:b/>
          <w:bCs/>
        </w:rPr>
        <w:t>Observation 1</w:t>
      </w:r>
      <w:r>
        <w:t xml:space="preserve">: The network assumes an IAB-node supports certain functionalities (that are not signalled with UE capabilities) based on the type of Msg5 indication sent by the IAB-MT: </w:t>
      </w:r>
    </w:p>
    <w:p w14:paraId="42FF2301" w14:textId="77777777" w:rsidR="003F223B" w:rsidRDefault="003F223B" w:rsidP="003F223B">
      <w:pPr>
        <w:pStyle w:val="ListParagraph"/>
        <w:numPr>
          <w:ilvl w:val="0"/>
          <w:numId w:val="19"/>
        </w:numPr>
      </w:pPr>
      <w:r w:rsidRPr="001E6151">
        <w:rPr>
          <w:i/>
          <w:iCs/>
        </w:rPr>
        <w:t>iab-NodeIndication-r16</w:t>
      </w:r>
      <w:r>
        <w:t xml:space="preserve">: IAB-MT supports child IAB nodes and does not support full </w:t>
      </w:r>
      <w:proofErr w:type="gramStart"/>
      <w:r>
        <w:t>migration</w:t>
      </w:r>
      <w:proofErr w:type="gramEnd"/>
    </w:p>
    <w:p w14:paraId="50EEA48B" w14:textId="77777777" w:rsidR="003F223B" w:rsidRDefault="003F223B" w:rsidP="003F223B">
      <w:pPr>
        <w:pStyle w:val="ListParagraph"/>
        <w:numPr>
          <w:ilvl w:val="0"/>
          <w:numId w:val="19"/>
        </w:numPr>
      </w:pPr>
      <w:r w:rsidRPr="001E6151">
        <w:rPr>
          <w:i/>
          <w:iCs/>
        </w:rPr>
        <w:t>mobileIAB-NodeIndication-r18</w:t>
      </w:r>
      <w:r>
        <w:t xml:space="preserve">: IAB-MT does not support child IAB nodes and supports full </w:t>
      </w:r>
      <w:proofErr w:type="gramStart"/>
      <w:r>
        <w:t>migration</w:t>
      </w:r>
      <w:proofErr w:type="gramEnd"/>
    </w:p>
    <w:p w14:paraId="6E2B57C3" w14:textId="77777777" w:rsidR="003F223B" w:rsidRDefault="003F223B" w:rsidP="003F223B">
      <w:r w:rsidRPr="00647960">
        <w:rPr>
          <w:b/>
          <w:bCs/>
        </w:rPr>
        <w:t>Observation 2</w:t>
      </w:r>
      <w:r>
        <w:t>: It does not make sense to allow an IAB-MT to send both Msg5 indications concurrently since this could be interpreted as contradictory functionality by the network.</w:t>
      </w:r>
    </w:p>
    <w:p w14:paraId="0FD2C9EE" w14:textId="77777777" w:rsidR="003F223B" w:rsidRDefault="003F223B" w:rsidP="003F223B">
      <w:r w:rsidRPr="00CC32AD">
        <w:rPr>
          <w:b/>
          <w:bCs/>
        </w:rPr>
        <w:t xml:space="preserve">Observation </w:t>
      </w:r>
      <w:r>
        <w:rPr>
          <w:b/>
          <w:bCs/>
        </w:rPr>
        <w:t>3</w:t>
      </w:r>
      <w:r>
        <w:t>: Allowing but not specifying DC-functionality for Rel-18 mobile IAB would potentially lead to ambiguous behaviour and/or interoperability issues between the network and IAB-node.</w:t>
      </w:r>
    </w:p>
    <w:p w14:paraId="24996D21" w14:textId="77777777" w:rsidR="003F223B" w:rsidRPr="005E438B" w:rsidRDefault="003F223B" w:rsidP="003F223B">
      <w:pPr>
        <w:rPr>
          <w:rFonts w:eastAsia="SimSun"/>
        </w:rPr>
      </w:pPr>
      <w:r w:rsidRPr="00973EDC">
        <w:rPr>
          <w:rFonts w:eastAsia="SimSun"/>
          <w:b/>
          <w:bCs/>
        </w:rPr>
        <w:t>Observation 4</w:t>
      </w:r>
      <w:r>
        <w:rPr>
          <w:rFonts w:eastAsia="SimSun"/>
        </w:rPr>
        <w:t xml:space="preserve">: Based on normative text in TS 23.501, SA2 appears to support scenarios where an IAB-MT </w:t>
      </w:r>
      <w:proofErr w:type="gramStart"/>
      <w:r>
        <w:rPr>
          <w:rFonts w:eastAsia="SimSun"/>
        </w:rPr>
        <w:t xml:space="preserve">is </w:t>
      </w:r>
      <w:r>
        <w:rPr>
          <w:rFonts w:eastAsia="SimSun"/>
          <w:i/>
          <w:iCs/>
        </w:rPr>
        <w:t>capable</w:t>
      </w:r>
      <w:r>
        <w:rPr>
          <w:rFonts w:eastAsia="SimSun"/>
        </w:rPr>
        <w:t xml:space="preserve"> of acting</w:t>
      </w:r>
      <w:proofErr w:type="gramEnd"/>
      <w:r>
        <w:rPr>
          <w:rFonts w:eastAsia="SimSun"/>
        </w:rPr>
        <w:t xml:space="preserve"> as a mobile IAB-MT but does not wish to </w:t>
      </w:r>
      <w:r>
        <w:rPr>
          <w:rFonts w:eastAsia="SimSun"/>
          <w:i/>
          <w:iCs/>
        </w:rPr>
        <w:t>operate</w:t>
      </w:r>
      <w:r>
        <w:rPr>
          <w:rFonts w:eastAsia="SimSun"/>
        </w:rPr>
        <w:t xml:space="preserve"> as a mobile node and therefore withholds the mobile IAB Msg5 indication.</w:t>
      </w:r>
    </w:p>
    <w:p w14:paraId="2CFC5146" w14:textId="77777777" w:rsidR="003F223B" w:rsidRDefault="003F223B" w:rsidP="003F223B">
      <w:pPr>
        <w:spacing w:before="240"/>
        <w:rPr>
          <w:rFonts w:eastAsia="SimSun"/>
        </w:rPr>
      </w:pPr>
      <w:r w:rsidRPr="0057727D">
        <w:rPr>
          <w:rFonts w:eastAsia="SimSun"/>
          <w:b/>
          <w:bCs/>
        </w:rPr>
        <w:t>Observation 5</w:t>
      </w:r>
      <w:r>
        <w:rPr>
          <w:rFonts w:eastAsia="SimSun"/>
        </w:rPr>
        <w:t xml:space="preserve">: Not specifying a dedicated mobile-IAB capability will require RAN3 to specify a mobile IAB indication in the </w:t>
      </w:r>
      <w:proofErr w:type="spellStart"/>
      <w:r>
        <w:rPr>
          <w:rFonts w:eastAsia="SimSun"/>
        </w:rPr>
        <w:t>Xn</w:t>
      </w:r>
      <w:proofErr w:type="spellEnd"/>
      <w:r>
        <w:rPr>
          <w:rFonts w:eastAsia="SimSun"/>
        </w:rPr>
        <w:t xml:space="preserve"> handover request message.</w:t>
      </w:r>
    </w:p>
    <w:p w14:paraId="66C6AC71" w14:textId="77777777" w:rsidR="003F223B" w:rsidRDefault="003F223B" w:rsidP="003F223B">
      <w:r w:rsidRPr="00AC4647">
        <w:rPr>
          <w:b/>
          <w:bCs/>
        </w:rPr>
        <w:t xml:space="preserve">Observation </w:t>
      </w:r>
      <w:r>
        <w:rPr>
          <w:b/>
          <w:bCs/>
        </w:rPr>
        <w:t>6</w:t>
      </w:r>
      <w:r>
        <w:t xml:space="preserve">: The fundamental procedures for </w:t>
      </w:r>
      <w:proofErr w:type="spellStart"/>
      <w:r>
        <w:t>mIAB</w:t>
      </w:r>
      <w:proofErr w:type="spellEnd"/>
      <w:r>
        <w:t xml:space="preserve"> RACH-less HO and NTN RACH-less HO are similar, only differing by a small number of indications that are used for the NTN scenario only.</w:t>
      </w:r>
    </w:p>
    <w:p w14:paraId="6ED245DD" w14:textId="77777777" w:rsidR="003F223B" w:rsidRDefault="003F223B" w:rsidP="003F223B">
      <w:r w:rsidRPr="00880851">
        <w:rPr>
          <w:b/>
          <w:bCs/>
        </w:rPr>
        <w:t xml:space="preserve">Observation </w:t>
      </w:r>
      <w:r>
        <w:rPr>
          <w:b/>
          <w:bCs/>
        </w:rPr>
        <w:t>7</w:t>
      </w:r>
      <w:r>
        <w:t>: RAN4 is already working on the measurement and mobility-related requirements for mobile IAB, and RAN2 can expect an LS from RAN4 to take these impacts into consideration in TS 38.306.</w:t>
      </w:r>
    </w:p>
    <w:p w14:paraId="13CF0ED2" w14:textId="77777777" w:rsidR="003F223B" w:rsidRDefault="003F223B" w:rsidP="003F223B">
      <w:r w:rsidRPr="00D322B2">
        <w:rPr>
          <w:b/>
          <w:bCs/>
        </w:rPr>
        <w:t xml:space="preserve">Observation </w:t>
      </w:r>
      <w:r>
        <w:rPr>
          <w:b/>
          <w:bCs/>
        </w:rPr>
        <w:t>8</w:t>
      </w:r>
      <w:r>
        <w:t xml:space="preserve">: RAN3 agreed that </w:t>
      </w:r>
      <w:proofErr w:type="spellStart"/>
      <w:r>
        <w:t>mIAB</w:t>
      </w:r>
      <w:proofErr w:type="spellEnd"/>
      <w:r>
        <w:t xml:space="preserve">-MT should be able to decode </w:t>
      </w:r>
      <w:proofErr w:type="spellStart"/>
      <w:r w:rsidRPr="00D322B2">
        <w:rPr>
          <w:i/>
          <w:iCs/>
        </w:rPr>
        <w:t>gNB</w:t>
      </w:r>
      <w:proofErr w:type="spellEnd"/>
      <w:r w:rsidRPr="00D322B2">
        <w:rPr>
          <w:i/>
          <w:iCs/>
        </w:rPr>
        <w:t>-ID-Length</w:t>
      </w:r>
      <w:r>
        <w:t xml:space="preserve">, which requires </w:t>
      </w:r>
      <w:proofErr w:type="spellStart"/>
      <w:r>
        <w:t>mIAB</w:t>
      </w:r>
      <w:proofErr w:type="spellEnd"/>
      <w:r>
        <w:t xml:space="preserve">-MT to support the </w:t>
      </w:r>
      <w:r w:rsidRPr="00D322B2">
        <w:rPr>
          <w:i/>
          <w:iCs/>
        </w:rPr>
        <w:t>gNB-ID-LengthReporting-r17</w:t>
      </w:r>
      <w:r>
        <w:t xml:space="preserve"> capability.</w:t>
      </w:r>
    </w:p>
    <w:p w14:paraId="3BE72BE2" w14:textId="77777777" w:rsidR="009339CB" w:rsidRPr="004F4540" w:rsidRDefault="009339CB" w:rsidP="009339CB">
      <w:pPr>
        <w:rPr>
          <w:bCs/>
        </w:rPr>
      </w:pPr>
      <w:r>
        <w:rPr>
          <w:bCs/>
        </w:rPr>
        <w:t>And proposed the following:</w:t>
      </w:r>
    </w:p>
    <w:p w14:paraId="41BCC034" w14:textId="77777777" w:rsidR="003F223B" w:rsidRDefault="003F223B" w:rsidP="003F223B">
      <w:r w:rsidRPr="00A06E22">
        <w:rPr>
          <w:b/>
          <w:bCs/>
        </w:rPr>
        <w:t>Proposal 1</w:t>
      </w:r>
      <w:r>
        <w:t>: An IAB-MT may not send both Msg5 indications concurrently.</w:t>
      </w:r>
    </w:p>
    <w:p w14:paraId="361BEC53" w14:textId="77777777" w:rsidR="003F223B" w:rsidRPr="009A5FB2" w:rsidRDefault="003F223B" w:rsidP="003F223B">
      <w:r w:rsidRPr="000F5382">
        <w:rPr>
          <w:b/>
          <w:bCs/>
        </w:rPr>
        <w:t xml:space="preserve">Proposal </w:t>
      </w:r>
      <w:r>
        <w:rPr>
          <w:b/>
          <w:bCs/>
        </w:rPr>
        <w:t>2</w:t>
      </w:r>
      <w:r>
        <w:t xml:space="preserve">: The network ignores DC capabilities when the IAB-MT indicates </w:t>
      </w:r>
      <w:r w:rsidRPr="001E6151">
        <w:rPr>
          <w:i/>
          <w:iCs/>
        </w:rPr>
        <w:t>mobileIAB-NodeIndication-r18</w:t>
      </w:r>
      <w:r>
        <w:t xml:space="preserve"> in Msg5.</w:t>
      </w:r>
    </w:p>
    <w:p w14:paraId="74D6BC38" w14:textId="77777777" w:rsidR="003F223B" w:rsidRDefault="003F223B" w:rsidP="003F223B">
      <w:r>
        <w:rPr>
          <w:b/>
          <w:bCs/>
        </w:rPr>
        <w:t>Proposal 3</w:t>
      </w:r>
      <w:r>
        <w:t>: RAN2 should discuss whether a dedicated mobile-IAB capability is introduced in Rel-18, considering Observation 4 and Observation 5</w:t>
      </w:r>
    </w:p>
    <w:p w14:paraId="28ABD69B" w14:textId="77777777" w:rsidR="003F223B" w:rsidRPr="000B3776" w:rsidRDefault="003F223B" w:rsidP="003F223B">
      <w:r w:rsidRPr="00AC4647">
        <w:rPr>
          <w:b/>
          <w:bCs/>
        </w:rPr>
        <w:t xml:space="preserve">Proposal </w:t>
      </w:r>
      <w:r>
        <w:rPr>
          <w:b/>
          <w:bCs/>
        </w:rPr>
        <w:t>4</w:t>
      </w:r>
      <w:r>
        <w:t xml:space="preserve">: The same UE capability applies for </w:t>
      </w:r>
      <w:proofErr w:type="spellStart"/>
      <w:r>
        <w:t>mIAB</w:t>
      </w:r>
      <w:proofErr w:type="spellEnd"/>
      <w:r>
        <w:t xml:space="preserve"> RACH-less as for NTN RACH-less.</w:t>
      </w:r>
    </w:p>
    <w:p w14:paraId="35F222F4" w14:textId="568ADCA4" w:rsidR="00080512" w:rsidRPr="00A209D6" w:rsidRDefault="00080512" w:rsidP="003F223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AD60" w14:textId="77777777" w:rsidR="003C68EE" w:rsidRDefault="003C68EE">
      <w:r>
        <w:separator/>
      </w:r>
    </w:p>
  </w:endnote>
  <w:endnote w:type="continuationSeparator" w:id="0">
    <w:p w14:paraId="3D085027" w14:textId="77777777" w:rsidR="003C68EE" w:rsidRDefault="003C68EE">
      <w:r>
        <w:continuationSeparator/>
      </w:r>
    </w:p>
  </w:endnote>
  <w:endnote w:type="continuationNotice" w:id="1">
    <w:p w14:paraId="7322F7B1" w14:textId="77777777" w:rsidR="003C68EE" w:rsidRDefault="003C6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ED6F" w14:textId="77777777" w:rsidR="003C68EE" w:rsidRDefault="003C68EE">
      <w:r>
        <w:separator/>
      </w:r>
    </w:p>
  </w:footnote>
  <w:footnote w:type="continuationSeparator" w:id="0">
    <w:p w14:paraId="7A43D228" w14:textId="77777777" w:rsidR="003C68EE" w:rsidRDefault="003C68EE">
      <w:r>
        <w:continuationSeparator/>
      </w:r>
    </w:p>
  </w:footnote>
  <w:footnote w:type="continuationNotice" w:id="1">
    <w:p w14:paraId="034677E0" w14:textId="77777777" w:rsidR="003C68EE" w:rsidRDefault="003C6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C2A54"/>
    <w:multiLevelType w:val="hybridMultilevel"/>
    <w:tmpl w:val="43044E3A"/>
    <w:lvl w:ilvl="0" w:tplc="68CEFD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A3040"/>
    <w:multiLevelType w:val="hybridMultilevel"/>
    <w:tmpl w:val="33CEEB94"/>
    <w:lvl w:ilvl="0" w:tplc="05A609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1647E"/>
    <w:multiLevelType w:val="hybridMultilevel"/>
    <w:tmpl w:val="B2BC6662"/>
    <w:lvl w:ilvl="0" w:tplc="E990FE3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0518BA"/>
    <w:multiLevelType w:val="hybridMultilevel"/>
    <w:tmpl w:val="BB52C02E"/>
    <w:lvl w:ilvl="0" w:tplc="E7287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4187328"/>
    <w:multiLevelType w:val="hybridMultilevel"/>
    <w:tmpl w:val="BD20E6DC"/>
    <w:lvl w:ilvl="0" w:tplc="016250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A81D10"/>
    <w:multiLevelType w:val="hybridMultilevel"/>
    <w:tmpl w:val="CC3CB2B8"/>
    <w:lvl w:ilvl="0" w:tplc="A6B88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9814E4"/>
    <w:multiLevelType w:val="hybridMultilevel"/>
    <w:tmpl w:val="4AEA8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8"/>
  </w:num>
  <w:num w:numId="7" w16cid:durableId="1489399165">
    <w:abstractNumId w:val="9"/>
  </w:num>
  <w:num w:numId="8" w16cid:durableId="224873732">
    <w:abstractNumId w:val="11"/>
  </w:num>
  <w:num w:numId="9" w16cid:durableId="572588581">
    <w:abstractNumId w:val="12"/>
  </w:num>
  <w:num w:numId="10" w16cid:durableId="1457527158">
    <w:abstractNumId w:val="10"/>
  </w:num>
  <w:num w:numId="11" w16cid:durableId="943029844">
    <w:abstractNumId w:val="2"/>
  </w:num>
  <w:num w:numId="12" w16cid:durableId="303049579">
    <w:abstractNumId w:val="13"/>
  </w:num>
  <w:num w:numId="13" w16cid:durableId="28380083">
    <w:abstractNumId w:val="7"/>
  </w:num>
  <w:num w:numId="14" w16cid:durableId="1167748502">
    <w:abstractNumId w:val="4"/>
  </w:num>
  <w:num w:numId="15" w16cid:durableId="1446343521">
    <w:abstractNumId w:val="14"/>
  </w:num>
  <w:num w:numId="16" w16cid:durableId="1330908011">
    <w:abstractNumId w:val="12"/>
  </w:num>
  <w:num w:numId="17" w16cid:durableId="1292323028">
    <w:abstractNumId w:val="12"/>
  </w:num>
  <w:num w:numId="18" w16cid:durableId="2121408664">
    <w:abstractNumId w:val="12"/>
  </w:num>
  <w:num w:numId="19" w16cid:durableId="270480734">
    <w:abstractNumId w:val="3"/>
  </w:num>
  <w:num w:numId="20" w16cid:durableId="3217423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28"/>
    <w:rsid w:val="00005B86"/>
    <w:rsid w:val="00006AF1"/>
    <w:rsid w:val="00006C10"/>
    <w:rsid w:val="00006D50"/>
    <w:rsid w:val="000126E6"/>
    <w:rsid w:val="00012710"/>
    <w:rsid w:val="0001448C"/>
    <w:rsid w:val="00016557"/>
    <w:rsid w:val="00020DE3"/>
    <w:rsid w:val="00023C40"/>
    <w:rsid w:val="00027ABD"/>
    <w:rsid w:val="00033397"/>
    <w:rsid w:val="0003460F"/>
    <w:rsid w:val="000355B1"/>
    <w:rsid w:val="00037D5F"/>
    <w:rsid w:val="00040095"/>
    <w:rsid w:val="0005237E"/>
    <w:rsid w:val="00056CDA"/>
    <w:rsid w:val="00057174"/>
    <w:rsid w:val="000614D9"/>
    <w:rsid w:val="00065268"/>
    <w:rsid w:val="0006702D"/>
    <w:rsid w:val="00072DE7"/>
    <w:rsid w:val="00073C9C"/>
    <w:rsid w:val="00076412"/>
    <w:rsid w:val="00076675"/>
    <w:rsid w:val="000772BE"/>
    <w:rsid w:val="00080512"/>
    <w:rsid w:val="00090468"/>
    <w:rsid w:val="00090765"/>
    <w:rsid w:val="00090FDB"/>
    <w:rsid w:val="00094380"/>
    <w:rsid w:val="00094568"/>
    <w:rsid w:val="000A0158"/>
    <w:rsid w:val="000B0152"/>
    <w:rsid w:val="000B14D2"/>
    <w:rsid w:val="000B3776"/>
    <w:rsid w:val="000B3A94"/>
    <w:rsid w:val="000B760B"/>
    <w:rsid w:val="000B7BCF"/>
    <w:rsid w:val="000C27CE"/>
    <w:rsid w:val="000C2F40"/>
    <w:rsid w:val="000C32F7"/>
    <w:rsid w:val="000C4E96"/>
    <w:rsid w:val="000C522B"/>
    <w:rsid w:val="000C5A18"/>
    <w:rsid w:val="000D4383"/>
    <w:rsid w:val="000D5089"/>
    <w:rsid w:val="000D5532"/>
    <w:rsid w:val="000D58AB"/>
    <w:rsid w:val="000F19E8"/>
    <w:rsid w:val="000F2034"/>
    <w:rsid w:val="000F49E0"/>
    <w:rsid w:val="000F5382"/>
    <w:rsid w:val="000F7880"/>
    <w:rsid w:val="001047C5"/>
    <w:rsid w:val="00112F1A"/>
    <w:rsid w:val="001151A6"/>
    <w:rsid w:val="0011598B"/>
    <w:rsid w:val="00120E4F"/>
    <w:rsid w:val="00123DE2"/>
    <w:rsid w:val="001245D7"/>
    <w:rsid w:val="0012546C"/>
    <w:rsid w:val="00130212"/>
    <w:rsid w:val="001341FE"/>
    <w:rsid w:val="00135CDF"/>
    <w:rsid w:val="001363A1"/>
    <w:rsid w:val="001371AB"/>
    <w:rsid w:val="00145075"/>
    <w:rsid w:val="001479A1"/>
    <w:rsid w:val="00150DF4"/>
    <w:rsid w:val="00152918"/>
    <w:rsid w:val="001623B7"/>
    <w:rsid w:val="001656CA"/>
    <w:rsid w:val="00166CC5"/>
    <w:rsid w:val="00171551"/>
    <w:rsid w:val="001741A0"/>
    <w:rsid w:val="00175E5E"/>
    <w:rsid w:val="00175FA0"/>
    <w:rsid w:val="001811C1"/>
    <w:rsid w:val="00183137"/>
    <w:rsid w:val="00184276"/>
    <w:rsid w:val="00184E85"/>
    <w:rsid w:val="00186703"/>
    <w:rsid w:val="00187E75"/>
    <w:rsid w:val="001942F8"/>
    <w:rsid w:val="00194CD0"/>
    <w:rsid w:val="0019561C"/>
    <w:rsid w:val="001A7C5C"/>
    <w:rsid w:val="001B116B"/>
    <w:rsid w:val="001B29BE"/>
    <w:rsid w:val="001B49C9"/>
    <w:rsid w:val="001B4D6F"/>
    <w:rsid w:val="001B5081"/>
    <w:rsid w:val="001B76E5"/>
    <w:rsid w:val="001C23F4"/>
    <w:rsid w:val="001C35DB"/>
    <w:rsid w:val="001C4F79"/>
    <w:rsid w:val="001C6F70"/>
    <w:rsid w:val="001D093D"/>
    <w:rsid w:val="001D3B78"/>
    <w:rsid w:val="001D3BEB"/>
    <w:rsid w:val="001D500B"/>
    <w:rsid w:val="001E0A26"/>
    <w:rsid w:val="001E447F"/>
    <w:rsid w:val="001E5E64"/>
    <w:rsid w:val="001E6151"/>
    <w:rsid w:val="001F168B"/>
    <w:rsid w:val="001F32F4"/>
    <w:rsid w:val="001F7831"/>
    <w:rsid w:val="001F7B19"/>
    <w:rsid w:val="002000BB"/>
    <w:rsid w:val="00204045"/>
    <w:rsid w:val="00205765"/>
    <w:rsid w:val="0020712B"/>
    <w:rsid w:val="0021000F"/>
    <w:rsid w:val="00211F94"/>
    <w:rsid w:val="00213AE9"/>
    <w:rsid w:val="00225B5D"/>
    <w:rsid w:val="0022606D"/>
    <w:rsid w:val="00231728"/>
    <w:rsid w:val="00234172"/>
    <w:rsid w:val="002352BF"/>
    <w:rsid w:val="00235E1B"/>
    <w:rsid w:val="00236036"/>
    <w:rsid w:val="00241060"/>
    <w:rsid w:val="00243E64"/>
    <w:rsid w:val="00244A05"/>
    <w:rsid w:val="00250404"/>
    <w:rsid w:val="00252508"/>
    <w:rsid w:val="0025285C"/>
    <w:rsid w:val="002559C7"/>
    <w:rsid w:val="00256B74"/>
    <w:rsid w:val="002572B9"/>
    <w:rsid w:val="00257CE5"/>
    <w:rsid w:val="00260116"/>
    <w:rsid w:val="002610D8"/>
    <w:rsid w:val="00264BCE"/>
    <w:rsid w:val="0027058C"/>
    <w:rsid w:val="00272F3A"/>
    <w:rsid w:val="002747EC"/>
    <w:rsid w:val="00280184"/>
    <w:rsid w:val="002807C4"/>
    <w:rsid w:val="00282E06"/>
    <w:rsid w:val="00284BEC"/>
    <w:rsid w:val="00284C86"/>
    <w:rsid w:val="002855BF"/>
    <w:rsid w:val="002862CE"/>
    <w:rsid w:val="00292864"/>
    <w:rsid w:val="00293757"/>
    <w:rsid w:val="002A0EDD"/>
    <w:rsid w:val="002A6D0A"/>
    <w:rsid w:val="002B2988"/>
    <w:rsid w:val="002B4B2A"/>
    <w:rsid w:val="002B4EAD"/>
    <w:rsid w:val="002B6B15"/>
    <w:rsid w:val="002B7591"/>
    <w:rsid w:val="002C4EF1"/>
    <w:rsid w:val="002C6E39"/>
    <w:rsid w:val="002D1FEB"/>
    <w:rsid w:val="002E6094"/>
    <w:rsid w:val="002E72ED"/>
    <w:rsid w:val="002F0B55"/>
    <w:rsid w:val="002F0D22"/>
    <w:rsid w:val="002F235B"/>
    <w:rsid w:val="002F408B"/>
    <w:rsid w:val="002F4A32"/>
    <w:rsid w:val="002F7E58"/>
    <w:rsid w:val="00311B17"/>
    <w:rsid w:val="00314389"/>
    <w:rsid w:val="00315ABA"/>
    <w:rsid w:val="00315D41"/>
    <w:rsid w:val="003172DC"/>
    <w:rsid w:val="003256B1"/>
    <w:rsid w:val="00325AE3"/>
    <w:rsid w:val="00326069"/>
    <w:rsid w:val="00337665"/>
    <w:rsid w:val="00341015"/>
    <w:rsid w:val="00345B4F"/>
    <w:rsid w:val="00354573"/>
    <w:rsid w:val="0035462D"/>
    <w:rsid w:val="00362A9F"/>
    <w:rsid w:val="0036459E"/>
    <w:rsid w:val="00364B41"/>
    <w:rsid w:val="003673C3"/>
    <w:rsid w:val="00370630"/>
    <w:rsid w:val="0037309D"/>
    <w:rsid w:val="00375A85"/>
    <w:rsid w:val="003771B1"/>
    <w:rsid w:val="00377DF5"/>
    <w:rsid w:val="00383096"/>
    <w:rsid w:val="003856D6"/>
    <w:rsid w:val="00390D93"/>
    <w:rsid w:val="0039201C"/>
    <w:rsid w:val="00392849"/>
    <w:rsid w:val="0039346C"/>
    <w:rsid w:val="003A0A88"/>
    <w:rsid w:val="003A11C0"/>
    <w:rsid w:val="003A231B"/>
    <w:rsid w:val="003A23C1"/>
    <w:rsid w:val="003A41EF"/>
    <w:rsid w:val="003B06CE"/>
    <w:rsid w:val="003B249D"/>
    <w:rsid w:val="003B40AD"/>
    <w:rsid w:val="003C4922"/>
    <w:rsid w:val="003C4E37"/>
    <w:rsid w:val="003C5AAC"/>
    <w:rsid w:val="003C6747"/>
    <w:rsid w:val="003C68EE"/>
    <w:rsid w:val="003D0FD0"/>
    <w:rsid w:val="003D17D0"/>
    <w:rsid w:val="003D1EF7"/>
    <w:rsid w:val="003E16BE"/>
    <w:rsid w:val="003E3079"/>
    <w:rsid w:val="003E58B0"/>
    <w:rsid w:val="003E6E9F"/>
    <w:rsid w:val="003F0756"/>
    <w:rsid w:val="003F223B"/>
    <w:rsid w:val="003F4E28"/>
    <w:rsid w:val="003F76F4"/>
    <w:rsid w:val="004006E8"/>
    <w:rsid w:val="00401855"/>
    <w:rsid w:val="004079BC"/>
    <w:rsid w:val="004146BA"/>
    <w:rsid w:val="00414949"/>
    <w:rsid w:val="00414CF1"/>
    <w:rsid w:val="00421E15"/>
    <w:rsid w:val="00430C87"/>
    <w:rsid w:val="004316E5"/>
    <w:rsid w:val="00437BA2"/>
    <w:rsid w:val="004403A6"/>
    <w:rsid w:val="00446C3A"/>
    <w:rsid w:val="00446E64"/>
    <w:rsid w:val="00447FD3"/>
    <w:rsid w:val="00450958"/>
    <w:rsid w:val="00453555"/>
    <w:rsid w:val="00456BF0"/>
    <w:rsid w:val="004632C6"/>
    <w:rsid w:val="00465587"/>
    <w:rsid w:val="0046637E"/>
    <w:rsid w:val="004667B0"/>
    <w:rsid w:val="00467804"/>
    <w:rsid w:val="004731BF"/>
    <w:rsid w:val="00473FE3"/>
    <w:rsid w:val="00474C0A"/>
    <w:rsid w:val="00477455"/>
    <w:rsid w:val="00482134"/>
    <w:rsid w:val="0048568C"/>
    <w:rsid w:val="00485E2C"/>
    <w:rsid w:val="00493FA0"/>
    <w:rsid w:val="0049767F"/>
    <w:rsid w:val="004A1F7B"/>
    <w:rsid w:val="004B5286"/>
    <w:rsid w:val="004B76CF"/>
    <w:rsid w:val="004C3202"/>
    <w:rsid w:val="004C44D2"/>
    <w:rsid w:val="004D062E"/>
    <w:rsid w:val="004D3128"/>
    <w:rsid w:val="004D3578"/>
    <w:rsid w:val="004D380D"/>
    <w:rsid w:val="004E213A"/>
    <w:rsid w:val="004E3716"/>
    <w:rsid w:val="004E5002"/>
    <w:rsid w:val="004F0B1F"/>
    <w:rsid w:val="004F1ECF"/>
    <w:rsid w:val="004F3271"/>
    <w:rsid w:val="004F3B5F"/>
    <w:rsid w:val="004F4540"/>
    <w:rsid w:val="004F73A7"/>
    <w:rsid w:val="004F750C"/>
    <w:rsid w:val="00503171"/>
    <w:rsid w:val="005033B5"/>
    <w:rsid w:val="00503959"/>
    <w:rsid w:val="00506664"/>
    <w:rsid w:val="00506C28"/>
    <w:rsid w:val="005076F6"/>
    <w:rsid w:val="00510B6D"/>
    <w:rsid w:val="005223A7"/>
    <w:rsid w:val="005251C2"/>
    <w:rsid w:val="00525E26"/>
    <w:rsid w:val="005275DB"/>
    <w:rsid w:val="00533371"/>
    <w:rsid w:val="00534DA0"/>
    <w:rsid w:val="00543392"/>
    <w:rsid w:val="00543E6C"/>
    <w:rsid w:val="00544781"/>
    <w:rsid w:val="00545A95"/>
    <w:rsid w:val="00546DD4"/>
    <w:rsid w:val="0055147C"/>
    <w:rsid w:val="00552DEE"/>
    <w:rsid w:val="0055619F"/>
    <w:rsid w:val="00562F89"/>
    <w:rsid w:val="00565087"/>
    <w:rsid w:val="0056573F"/>
    <w:rsid w:val="00571279"/>
    <w:rsid w:val="00574CA7"/>
    <w:rsid w:val="0057727D"/>
    <w:rsid w:val="00581A1A"/>
    <w:rsid w:val="00587C75"/>
    <w:rsid w:val="0059106B"/>
    <w:rsid w:val="00595897"/>
    <w:rsid w:val="00595DAE"/>
    <w:rsid w:val="005A13AB"/>
    <w:rsid w:val="005A49C6"/>
    <w:rsid w:val="005B6208"/>
    <w:rsid w:val="005C6AB7"/>
    <w:rsid w:val="005C766E"/>
    <w:rsid w:val="005C7CD5"/>
    <w:rsid w:val="005D764D"/>
    <w:rsid w:val="005E1A1C"/>
    <w:rsid w:val="005E34F2"/>
    <w:rsid w:val="005E438B"/>
    <w:rsid w:val="005F4129"/>
    <w:rsid w:val="005F42E5"/>
    <w:rsid w:val="0060594E"/>
    <w:rsid w:val="00605C17"/>
    <w:rsid w:val="006075CA"/>
    <w:rsid w:val="00611566"/>
    <w:rsid w:val="00611E55"/>
    <w:rsid w:val="00614050"/>
    <w:rsid w:val="006172B5"/>
    <w:rsid w:val="00620261"/>
    <w:rsid w:val="006262AC"/>
    <w:rsid w:val="006325BD"/>
    <w:rsid w:val="00633F71"/>
    <w:rsid w:val="00636469"/>
    <w:rsid w:val="00641CDA"/>
    <w:rsid w:val="00644684"/>
    <w:rsid w:val="0064539B"/>
    <w:rsid w:val="00646D99"/>
    <w:rsid w:val="00647960"/>
    <w:rsid w:val="00652FDA"/>
    <w:rsid w:val="00656910"/>
    <w:rsid w:val="006574C0"/>
    <w:rsid w:val="00663CBD"/>
    <w:rsid w:val="00666F40"/>
    <w:rsid w:val="00667FA9"/>
    <w:rsid w:val="00670978"/>
    <w:rsid w:val="00677D0D"/>
    <w:rsid w:val="0068478F"/>
    <w:rsid w:val="006865D3"/>
    <w:rsid w:val="00695685"/>
    <w:rsid w:val="00696821"/>
    <w:rsid w:val="006B08AD"/>
    <w:rsid w:val="006B2B54"/>
    <w:rsid w:val="006B3C88"/>
    <w:rsid w:val="006B57F5"/>
    <w:rsid w:val="006C2300"/>
    <w:rsid w:val="006C66D8"/>
    <w:rsid w:val="006D0FEB"/>
    <w:rsid w:val="006D1E24"/>
    <w:rsid w:val="006D27F8"/>
    <w:rsid w:val="006D2C64"/>
    <w:rsid w:val="006D35DE"/>
    <w:rsid w:val="006D3DE4"/>
    <w:rsid w:val="006D3E9A"/>
    <w:rsid w:val="006E1057"/>
    <w:rsid w:val="006E1417"/>
    <w:rsid w:val="006E50FF"/>
    <w:rsid w:val="006F0365"/>
    <w:rsid w:val="006F0951"/>
    <w:rsid w:val="006F12BB"/>
    <w:rsid w:val="006F43B5"/>
    <w:rsid w:val="006F6A2C"/>
    <w:rsid w:val="00700478"/>
    <w:rsid w:val="007069DC"/>
    <w:rsid w:val="00707748"/>
    <w:rsid w:val="00710201"/>
    <w:rsid w:val="00714953"/>
    <w:rsid w:val="0072073A"/>
    <w:rsid w:val="007212FB"/>
    <w:rsid w:val="00730469"/>
    <w:rsid w:val="007342B5"/>
    <w:rsid w:val="00734A5B"/>
    <w:rsid w:val="00740148"/>
    <w:rsid w:val="00740654"/>
    <w:rsid w:val="00744E76"/>
    <w:rsid w:val="0074706D"/>
    <w:rsid w:val="00750945"/>
    <w:rsid w:val="0075281D"/>
    <w:rsid w:val="00753B37"/>
    <w:rsid w:val="0075531E"/>
    <w:rsid w:val="00757D40"/>
    <w:rsid w:val="00761476"/>
    <w:rsid w:val="007662B5"/>
    <w:rsid w:val="00771D7D"/>
    <w:rsid w:val="00781F0F"/>
    <w:rsid w:val="007847AC"/>
    <w:rsid w:val="007855CA"/>
    <w:rsid w:val="0078727C"/>
    <w:rsid w:val="0079049D"/>
    <w:rsid w:val="007926DA"/>
    <w:rsid w:val="00792B7D"/>
    <w:rsid w:val="0079331E"/>
    <w:rsid w:val="00793DC5"/>
    <w:rsid w:val="0079446D"/>
    <w:rsid w:val="00794B4A"/>
    <w:rsid w:val="00796823"/>
    <w:rsid w:val="007A1FC5"/>
    <w:rsid w:val="007A2E55"/>
    <w:rsid w:val="007A60D4"/>
    <w:rsid w:val="007B18D8"/>
    <w:rsid w:val="007C095F"/>
    <w:rsid w:val="007C2DD0"/>
    <w:rsid w:val="007C377E"/>
    <w:rsid w:val="007C68CA"/>
    <w:rsid w:val="007D06EF"/>
    <w:rsid w:val="007E0FF3"/>
    <w:rsid w:val="007E1282"/>
    <w:rsid w:val="007E46A0"/>
    <w:rsid w:val="007F2E08"/>
    <w:rsid w:val="007F3B99"/>
    <w:rsid w:val="007F615D"/>
    <w:rsid w:val="007F7BDE"/>
    <w:rsid w:val="008000A0"/>
    <w:rsid w:val="00801AE2"/>
    <w:rsid w:val="008024FA"/>
    <w:rsid w:val="008028A4"/>
    <w:rsid w:val="008036F0"/>
    <w:rsid w:val="008052B4"/>
    <w:rsid w:val="008109AB"/>
    <w:rsid w:val="00813245"/>
    <w:rsid w:val="00813B78"/>
    <w:rsid w:val="008327E7"/>
    <w:rsid w:val="0083351C"/>
    <w:rsid w:val="00840DE0"/>
    <w:rsid w:val="0084252F"/>
    <w:rsid w:val="00847CD0"/>
    <w:rsid w:val="00854D4F"/>
    <w:rsid w:val="00856C81"/>
    <w:rsid w:val="00857933"/>
    <w:rsid w:val="008607A8"/>
    <w:rsid w:val="00861FA0"/>
    <w:rsid w:val="008634C7"/>
    <w:rsid w:val="0086354A"/>
    <w:rsid w:val="00866D43"/>
    <w:rsid w:val="00867F2A"/>
    <w:rsid w:val="008706CA"/>
    <w:rsid w:val="0087328F"/>
    <w:rsid w:val="0087481B"/>
    <w:rsid w:val="008768CA"/>
    <w:rsid w:val="00877EF9"/>
    <w:rsid w:val="00880559"/>
    <w:rsid w:val="00880851"/>
    <w:rsid w:val="008863F5"/>
    <w:rsid w:val="00890295"/>
    <w:rsid w:val="008907E2"/>
    <w:rsid w:val="0089182F"/>
    <w:rsid w:val="008A1FB9"/>
    <w:rsid w:val="008A75D5"/>
    <w:rsid w:val="008B1534"/>
    <w:rsid w:val="008B5306"/>
    <w:rsid w:val="008B54E8"/>
    <w:rsid w:val="008C1E15"/>
    <w:rsid w:val="008C2E2A"/>
    <w:rsid w:val="008C3057"/>
    <w:rsid w:val="008C4D3F"/>
    <w:rsid w:val="008D2E4D"/>
    <w:rsid w:val="008D36EF"/>
    <w:rsid w:val="008E2B3B"/>
    <w:rsid w:val="008E512B"/>
    <w:rsid w:val="008E6BC6"/>
    <w:rsid w:val="008E7078"/>
    <w:rsid w:val="008F32B7"/>
    <w:rsid w:val="008F396F"/>
    <w:rsid w:val="008F3DCD"/>
    <w:rsid w:val="008F4DAB"/>
    <w:rsid w:val="0090271F"/>
    <w:rsid w:val="00902DB9"/>
    <w:rsid w:val="009043AD"/>
    <w:rsid w:val="0090466A"/>
    <w:rsid w:val="00905E5A"/>
    <w:rsid w:val="00907EF2"/>
    <w:rsid w:val="009138FD"/>
    <w:rsid w:val="0091706E"/>
    <w:rsid w:val="009206D1"/>
    <w:rsid w:val="00923655"/>
    <w:rsid w:val="009339CB"/>
    <w:rsid w:val="00935693"/>
    <w:rsid w:val="00936071"/>
    <w:rsid w:val="009376CD"/>
    <w:rsid w:val="00940212"/>
    <w:rsid w:val="00942EC2"/>
    <w:rsid w:val="00951664"/>
    <w:rsid w:val="0096092C"/>
    <w:rsid w:val="00961B32"/>
    <w:rsid w:val="00962509"/>
    <w:rsid w:val="00970DB3"/>
    <w:rsid w:val="0097381E"/>
    <w:rsid w:val="00973EDC"/>
    <w:rsid w:val="00974BB0"/>
    <w:rsid w:val="00975744"/>
    <w:rsid w:val="00975BCD"/>
    <w:rsid w:val="009766BB"/>
    <w:rsid w:val="00976A24"/>
    <w:rsid w:val="00976CA3"/>
    <w:rsid w:val="00977305"/>
    <w:rsid w:val="00977516"/>
    <w:rsid w:val="00981760"/>
    <w:rsid w:val="009818A2"/>
    <w:rsid w:val="0098627A"/>
    <w:rsid w:val="009928A9"/>
    <w:rsid w:val="00993463"/>
    <w:rsid w:val="009A0AF3"/>
    <w:rsid w:val="009A26BE"/>
    <w:rsid w:val="009A5FB2"/>
    <w:rsid w:val="009B07CD"/>
    <w:rsid w:val="009B2699"/>
    <w:rsid w:val="009B3C94"/>
    <w:rsid w:val="009B4727"/>
    <w:rsid w:val="009B6D2C"/>
    <w:rsid w:val="009C0063"/>
    <w:rsid w:val="009C19E9"/>
    <w:rsid w:val="009C2133"/>
    <w:rsid w:val="009C7BCB"/>
    <w:rsid w:val="009D26B2"/>
    <w:rsid w:val="009D5370"/>
    <w:rsid w:val="009D74A6"/>
    <w:rsid w:val="009E0E87"/>
    <w:rsid w:val="00A02506"/>
    <w:rsid w:val="00A02A32"/>
    <w:rsid w:val="00A06E22"/>
    <w:rsid w:val="00A10F02"/>
    <w:rsid w:val="00A14B71"/>
    <w:rsid w:val="00A15999"/>
    <w:rsid w:val="00A17176"/>
    <w:rsid w:val="00A204CA"/>
    <w:rsid w:val="00A209D6"/>
    <w:rsid w:val="00A22738"/>
    <w:rsid w:val="00A273F0"/>
    <w:rsid w:val="00A27F4F"/>
    <w:rsid w:val="00A36F5F"/>
    <w:rsid w:val="00A430EC"/>
    <w:rsid w:val="00A4746C"/>
    <w:rsid w:val="00A503DA"/>
    <w:rsid w:val="00A52285"/>
    <w:rsid w:val="00A53724"/>
    <w:rsid w:val="00A54B2B"/>
    <w:rsid w:val="00A57A97"/>
    <w:rsid w:val="00A62306"/>
    <w:rsid w:val="00A672D0"/>
    <w:rsid w:val="00A678F6"/>
    <w:rsid w:val="00A703B6"/>
    <w:rsid w:val="00A7309E"/>
    <w:rsid w:val="00A812C8"/>
    <w:rsid w:val="00A82346"/>
    <w:rsid w:val="00A83BB7"/>
    <w:rsid w:val="00A849D4"/>
    <w:rsid w:val="00A85FA1"/>
    <w:rsid w:val="00A95401"/>
    <w:rsid w:val="00A964E4"/>
    <w:rsid w:val="00A9671C"/>
    <w:rsid w:val="00A96FC0"/>
    <w:rsid w:val="00AA04F9"/>
    <w:rsid w:val="00AA1553"/>
    <w:rsid w:val="00AA51B0"/>
    <w:rsid w:val="00AB0999"/>
    <w:rsid w:val="00AB31BB"/>
    <w:rsid w:val="00AB3332"/>
    <w:rsid w:val="00AB6C51"/>
    <w:rsid w:val="00AC2DB8"/>
    <w:rsid w:val="00AC4647"/>
    <w:rsid w:val="00AD2807"/>
    <w:rsid w:val="00AE1587"/>
    <w:rsid w:val="00AE1933"/>
    <w:rsid w:val="00AE1CA5"/>
    <w:rsid w:val="00AE4B60"/>
    <w:rsid w:val="00AE6C39"/>
    <w:rsid w:val="00AF4DC7"/>
    <w:rsid w:val="00AF59AC"/>
    <w:rsid w:val="00AF79AC"/>
    <w:rsid w:val="00B01102"/>
    <w:rsid w:val="00B01E2B"/>
    <w:rsid w:val="00B05380"/>
    <w:rsid w:val="00B05962"/>
    <w:rsid w:val="00B05AEC"/>
    <w:rsid w:val="00B11027"/>
    <w:rsid w:val="00B112E4"/>
    <w:rsid w:val="00B15449"/>
    <w:rsid w:val="00B1620E"/>
    <w:rsid w:val="00B16C2F"/>
    <w:rsid w:val="00B26848"/>
    <w:rsid w:val="00B27303"/>
    <w:rsid w:val="00B30A76"/>
    <w:rsid w:val="00B30B36"/>
    <w:rsid w:val="00B313F0"/>
    <w:rsid w:val="00B3458E"/>
    <w:rsid w:val="00B34B11"/>
    <w:rsid w:val="00B40B25"/>
    <w:rsid w:val="00B4349D"/>
    <w:rsid w:val="00B45DD0"/>
    <w:rsid w:val="00B47FD1"/>
    <w:rsid w:val="00B516BB"/>
    <w:rsid w:val="00B5724C"/>
    <w:rsid w:val="00B60DC0"/>
    <w:rsid w:val="00B64F93"/>
    <w:rsid w:val="00B67416"/>
    <w:rsid w:val="00B67755"/>
    <w:rsid w:val="00B734B6"/>
    <w:rsid w:val="00B7538C"/>
    <w:rsid w:val="00B75B06"/>
    <w:rsid w:val="00B77E80"/>
    <w:rsid w:val="00B84B3A"/>
    <w:rsid w:val="00B84DB2"/>
    <w:rsid w:val="00B85DE5"/>
    <w:rsid w:val="00B94D90"/>
    <w:rsid w:val="00B95A1D"/>
    <w:rsid w:val="00B95CB8"/>
    <w:rsid w:val="00B9617A"/>
    <w:rsid w:val="00B97871"/>
    <w:rsid w:val="00BA4CCB"/>
    <w:rsid w:val="00BA500C"/>
    <w:rsid w:val="00BB2567"/>
    <w:rsid w:val="00BC06F1"/>
    <w:rsid w:val="00BC2F6E"/>
    <w:rsid w:val="00BC3555"/>
    <w:rsid w:val="00BC4480"/>
    <w:rsid w:val="00BC4BFF"/>
    <w:rsid w:val="00BC568B"/>
    <w:rsid w:val="00BC5FD1"/>
    <w:rsid w:val="00BD0907"/>
    <w:rsid w:val="00BD368E"/>
    <w:rsid w:val="00BD5A32"/>
    <w:rsid w:val="00BD627F"/>
    <w:rsid w:val="00BD7FB8"/>
    <w:rsid w:val="00BE5547"/>
    <w:rsid w:val="00BE7B6B"/>
    <w:rsid w:val="00BF338D"/>
    <w:rsid w:val="00BF35F8"/>
    <w:rsid w:val="00BF467D"/>
    <w:rsid w:val="00BF5E44"/>
    <w:rsid w:val="00C012D5"/>
    <w:rsid w:val="00C02E13"/>
    <w:rsid w:val="00C038C8"/>
    <w:rsid w:val="00C06D61"/>
    <w:rsid w:val="00C06ED3"/>
    <w:rsid w:val="00C10F66"/>
    <w:rsid w:val="00C110A2"/>
    <w:rsid w:val="00C12B51"/>
    <w:rsid w:val="00C1550D"/>
    <w:rsid w:val="00C174C6"/>
    <w:rsid w:val="00C209EC"/>
    <w:rsid w:val="00C24650"/>
    <w:rsid w:val="00C25465"/>
    <w:rsid w:val="00C3013D"/>
    <w:rsid w:val="00C33079"/>
    <w:rsid w:val="00C40A3B"/>
    <w:rsid w:val="00C416CE"/>
    <w:rsid w:val="00C4515D"/>
    <w:rsid w:val="00C45371"/>
    <w:rsid w:val="00C45749"/>
    <w:rsid w:val="00C4580F"/>
    <w:rsid w:val="00C461E6"/>
    <w:rsid w:val="00C46229"/>
    <w:rsid w:val="00C528B5"/>
    <w:rsid w:val="00C55A12"/>
    <w:rsid w:val="00C576FA"/>
    <w:rsid w:val="00C651FE"/>
    <w:rsid w:val="00C6553E"/>
    <w:rsid w:val="00C65CFA"/>
    <w:rsid w:val="00C83A13"/>
    <w:rsid w:val="00C85BDD"/>
    <w:rsid w:val="00C863EE"/>
    <w:rsid w:val="00C86F10"/>
    <w:rsid w:val="00C9068C"/>
    <w:rsid w:val="00C92967"/>
    <w:rsid w:val="00CA0B7A"/>
    <w:rsid w:val="00CA0D04"/>
    <w:rsid w:val="00CA194B"/>
    <w:rsid w:val="00CA3D0C"/>
    <w:rsid w:val="00CA3D14"/>
    <w:rsid w:val="00CA654B"/>
    <w:rsid w:val="00CB2549"/>
    <w:rsid w:val="00CB29A6"/>
    <w:rsid w:val="00CB72B8"/>
    <w:rsid w:val="00CB760A"/>
    <w:rsid w:val="00CC32AD"/>
    <w:rsid w:val="00CC6E8C"/>
    <w:rsid w:val="00CC7433"/>
    <w:rsid w:val="00CD0BA8"/>
    <w:rsid w:val="00CD2398"/>
    <w:rsid w:val="00CD4C7B"/>
    <w:rsid w:val="00CD58FE"/>
    <w:rsid w:val="00CD749C"/>
    <w:rsid w:val="00CE1902"/>
    <w:rsid w:val="00CE2F7C"/>
    <w:rsid w:val="00CE48EF"/>
    <w:rsid w:val="00CE5FD5"/>
    <w:rsid w:val="00CE67CC"/>
    <w:rsid w:val="00CF5242"/>
    <w:rsid w:val="00CF6659"/>
    <w:rsid w:val="00D013C4"/>
    <w:rsid w:val="00D071B5"/>
    <w:rsid w:val="00D1044E"/>
    <w:rsid w:val="00D122A0"/>
    <w:rsid w:val="00D24CBB"/>
    <w:rsid w:val="00D30694"/>
    <w:rsid w:val="00D322B2"/>
    <w:rsid w:val="00D33BE3"/>
    <w:rsid w:val="00D35394"/>
    <w:rsid w:val="00D3792D"/>
    <w:rsid w:val="00D40DAE"/>
    <w:rsid w:val="00D43E87"/>
    <w:rsid w:val="00D45148"/>
    <w:rsid w:val="00D51633"/>
    <w:rsid w:val="00D54820"/>
    <w:rsid w:val="00D55E47"/>
    <w:rsid w:val="00D57A08"/>
    <w:rsid w:val="00D62955"/>
    <w:rsid w:val="00D62E19"/>
    <w:rsid w:val="00D66DEC"/>
    <w:rsid w:val="00D67CD1"/>
    <w:rsid w:val="00D738D6"/>
    <w:rsid w:val="00D741D5"/>
    <w:rsid w:val="00D773F4"/>
    <w:rsid w:val="00D80795"/>
    <w:rsid w:val="00D83B79"/>
    <w:rsid w:val="00D83C7B"/>
    <w:rsid w:val="00D854BE"/>
    <w:rsid w:val="00D878CA"/>
    <w:rsid w:val="00D87E00"/>
    <w:rsid w:val="00D90106"/>
    <w:rsid w:val="00D9134D"/>
    <w:rsid w:val="00D947A4"/>
    <w:rsid w:val="00D96D11"/>
    <w:rsid w:val="00DA06BF"/>
    <w:rsid w:val="00DA2EF1"/>
    <w:rsid w:val="00DA625C"/>
    <w:rsid w:val="00DA63D9"/>
    <w:rsid w:val="00DA6C5F"/>
    <w:rsid w:val="00DA6F27"/>
    <w:rsid w:val="00DA70CF"/>
    <w:rsid w:val="00DA7A03"/>
    <w:rsid w:val="00DB051A"/>
    <w:rsid w:val="00DB0DB8"/>
    <w:rsid w:val="00DB1818"/>
    <w:rsid w:val="00DB2083"/>
    <w:rsid w:val="00DB639D"/>
    <w:rsid w:val="00DB65E4"/>
    <w:rsid w:val="00DC309B"/>
    <w:rsid w:val="00DC337E"/>
    <w:rsid w:val="00DC364C"/>
    <w:rsid w:val="00DC4DA2"/>
    <w:rsid w:val="00DC5261"/>
    <w:rsid w:val="00DD0B15"/>
    <w:rsid w:val="00DD4FD0"/>
    <w:rsid w:val="00DD5B2F"/>
    <w:rsid w:val="00DE25D2"/>
    <w:rsid w:val="00DE294E"/>
    <w:rsid w:val="00DE2EC9"/>
    <w:rsid w:val="00DE6A16"/>
    <w:rsid w:val="00DE7A3C"/>
    <w:rsid w:val="00DF22FC"/>
    <w:rsid w:val="00DF32DF"/>
    <w:rsid w:val="00DF7C20"/>
    <w:rsid w:val="00DF7F6B"/>
    <w:rsid w:val="00E038FB"/>
    <w:rsid w:val="00E10427"/>
    <w:rsid w:val="00E11D59"/>
    <w:rsid w:val="00E122A4"/>
    <w:rsid w:val="00E12E6A"/>
    <w:rsid w:val="00E1706B"/>
    <w:rsid w:val="00E17261"/>
    <w:rsid w:val="00E21E46"/>
    <w:rsid w:val="00E24F98"/>
    <w:rsid w:val="00E30193"/>
    <w:rsid w:val="00E3034F"/>
    <w:rsid w:val="00E36B17"/>
    <w:rsid w:val="00E4003F"/>
    <w:rsid w:val="00E40CC4"/>
    <w:rsid w:val="00E435A0"/>
    <w:rsid w:val="00E44C8C"/>
    <w:rsid w:val="00E46C08"/>
    <w:rsid w:val="00E46EBB"/>
    <w:rsid w:val="00E471CF"/>
    <w:rsid w:val="00E472B7"/>
    <w:rsid w:val="00E62810"/>
    <w:rsid w:val="00E62835"/>
    <w:rsid w:val="00E6480E"/>
    <w:rsid w:val="00E66F7A"/>
    <w:rsid w:val="00E67AE7"/>
    <w:rsid w:val="00E72B7E"/>
    <w:rsid w:val="00E77645"/>
    <w:rsid w:val="00E83697"/>
    <w:rsid w:val="00E84DEF"/>
    <w:rsid w:val="00E85866"/>
    <w:rsid w:val="00E859B6"/>
    <w:rsid w:val="00E9016F"/>
    <w:rsid w:val="00E90276"/>
    <w:rsid w:val="00E91DA8"/>
    <w:rsid w:val="00E95813"/>
    <w:rsid w:val="00E95DCE"/>
    <w:rsid w:val="00EA66C9"/>
    <w:rsid w:val="00EB0D8A"/>
    <w:rsid w:val="00EB221B"/>
    <w:rsid w:val="00EB5945"/>
    <w:rsid w:val="00EB5D32"/>
    <w:rsid w:val="00EB6F53"/>
    <w:rsid w:val="00EC0A92"/>
    <w:rsid w:val="00EC4A25"/>
    <w:rsid w:val="00ED1C1D"/>
    <w:rsid w:val="00ED1D1C"/>
    <w:rsid w:val="00ED627B"/>
    <w:rsid w:val="00EE1BFE"/>
    <w:rsid w:val="00EE58EA"/>
    <w:rsid w:val="00EE718E"/>
    <w:rsid w:val="00EF612C"/>
    <w:rsid w:val="00F00739"/>
    <w:rsid w:val="00F025A2"/>
    <w:rsid w:val="00F036E9"/>
    <w:rsid w:val="00F07388"/>
    <w:rsid w:val="00F17D8D"/>
    <w:rsid w:val="00F2026E"/>
    <w:rsid w:val="00F2210A"/>
    <w:rsid w:val="00F231E2"/>
    <w:rsid w:val="00F31372"/>
    <w:rsid w:val="00F34748"/>
    <w:rsid w:val="00F37743"/>
    <w:rsid w:val="00F44B9A"/>
    <w:rsid w:val="00F5408F"/>
    <w:rsid w:val="00F54A3D"/>
    <w:rsid w:val="00F54CB0"/>
    <w:rsid w:val="00F579CD"/>
    <w:rsid w:val="00F653B8"/>
    <w:rsid w:val="00F70BFA"/>
    <w:rsid w:val="00F71B89"/>
    <w:rsid w:val="00F728E5"/>
    <w:rsid w:val="00F72BBE"/>
    <w:rsid w:val="00F7353C"/>
    <w:rsid w:val="00F753DC"/>
    <w:rsid w:val="00F769A0"/>
    <w:rsid w:val="00F76F8F"/>
    <w:rsid w:val="00F87257"/>
    <w:rsid w:val="00F910A7"/>
    <w:rsid w:val="00F91EB5"/>
    <w:rsid w:val="00F941DF"/>
    <w:rsid w:val="00F962EF"/>
    <w:rsid w:val="00F9714F"/>
    <w:rsid w:val="00FA1266"/>
    <w:rsid w:val="00FA5A59"/>
    <w:rsid w:val="00FB36FA"/>
    <w:rsid w:val="00FC0460"/>
    <w:rsid w:val="00FC1192"/>
    <w:rsid w:val="00FC3BC7"/>
    <w:rsid w:val="00FD00A8"/>
    <w:rsid w:val="00FD0776"/>
    <w:rsid w:val="00FD4205"/>
    <w:rsid w:val="00FE106D"/>
    <w:rsid w:val="00FE12EF"/>
    <w:rsid w:val="00FE1894"/>
    <w:rsid w:val="00FE251B"/>
    <w:rsid w:val="00FE2F27"/>
    <w:rsid w:val="00FE7C48"/>
    <w:rsid w:val="00FF23A3"/>
    <w:rsid w:val="00FF4C28"/>
    <w:rsid w:val="17668648"/>
    <w:rsid w:val="1C26B89A"/>
    <w:rsid w:val="1FFC8D0B"/>
    <w:rsid w:val="23900C0F"/>
    <w:rsid w:val="2CFE9679"/>
    <w:rsid w:val="36512B10"/>
    <w:rsid w:val="46DB3364"/>
    <w:rsid w:val="4A98EACC"/>
    <w:rsid w:val="578F2E2D"/>
    <w:rsid w:val="59D4A0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82E06"/>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D947A4"/>
    <w:rPr>
      <w:lang w:eastAsia="en-US"/>
    </w:rPr>
  </w:style>
  <w:style w:type="character" w:styleId="FollowedHyperlink">
    <w:name w:val="FollowedHyperlink"/>
    <w:basedOn w:val="DefaultParagraphFont"/>
    <w:rsid w:val="001E447F"/>
    <w:rPr>
      <w:color w:val="954F72" w:themeColor="followedHyperlink"/>
      <w:u w:val="single"/>
    </w:rPr>
  </w:style>
  <w:style w:type="paragraph" w:customStyle="1" w:styleId="Agreement">
    <w:name w:val="Agreement"/>
    <w:basedOn w:val="Normal"/>
    <w:next w:val="Normal"/>
    <w:uiPriority w:val="99"/>
    <w:qFormat/>
    <w:rsid w:val="00390D93"/>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765344">
      <w:bodyDiv w:val="1"/>
      <w:marLeft w:val="0"/>
      <w:marRight w:val="0"/>
      <w:marTop w:val="0"/>
      <w:marBottom w:val="0"/>
      <w:divBdr>
        <w:top w:val="none" w:sz="0" w:space="0" w:color="auto"/>
        <w:left w:val="none" w:sz="0" w:space="0" w:color="auto"/>
        <w:bottom w:val="none" w:sz="0" w:space="0" w:color="auto"/>
        <w:right w:val="none" w:sz="0" w:space="0" w:color="auto"/>
      </w:divBdr>
    </w:div>
    <w:div w:id="4510232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843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3_Iu/TSGR3_121-bis/Docs/R3-23591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3bis/Docs/R2-231012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4/docs/R2-2313196.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5AIRPNAIUNRU-859666464-15269</_dlc_DocId>
    <_dlc_DocIdUrl xmlns="71c5aaf6-e6ce-465b-b873-5148d2a4c105">
      <Url>https://nokia.sharepoint.com/sites/c5g/e2earch/_layouts/15/DocIdRedir.aspx?ID=5AIRPNAIUNRU-859666464-15269</Url>
      <Description>5AIRPNAIUNRU-859666464-15269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A93D-5186-41A6-ABBA-9A577CD61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4</Pages>
  <Words>2130</Words>
  <Characters>12146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713</cp:revision>
  <dcterms:created xsi:type="dcterms:W3CDTF">2016-08-12T13:53:00Z</dcterms:created>
  <dcterms:modified xsi:type="dcterms:W3CDTF">2023-11-03T01:45:00Z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b1dd4f94-fd50-47a2-9d32-35a489a09dd3</vt:lpwstr>
  </property>
  <property fmtid="{D5CDD505-2E9C-101B-9397-08002B2CF9AE}" pid="4" name="MediaServiceImageTags">
    <vt:lpwstr/>
  </property>
</Properties>
</file>